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161" w:rsidRDefault="00F8673F">
      <w:r>
        <w:rPr>
          <w:noProof/>
        </w:rPr>
        <w:pict>
          <v:line id="_x0000_s1030" style="position:absolute;z-index:3" from="-86.45pt,67.55pt" to="381.55pt,67.55pt" strokeweight="4.5pt">
            <v:stroke linestyle="thickThin"/>
          </v:line>
        </w:pict>
      </w:r>
      <w:r>
        <w:rPr>
          <w:noProof/>
        </w:rPr>
        <w:pict>
          <v:shapetype id="_x0000_t202" coordsize="21600,21600" o:spt="202" path="m,l,21600r21600,l21600,xe">
            <v:stroke joinstyle="miter"/>
            <v:path gradientshapeok="t" o:connecttype="rect"/>
          </v:shapetype>
          <v:shape id="_x0000_s1029" type="#_x0000_t202" style="position:absolute;margin-left:-4.45pt;margin-top:-1.35pt;width:76.4pt;height:60.75pt;z-index:2" stroked="f">
            <v:textbox style="mso-next-textbox:#_x0000_s1029">
              <w:txbxContent>
                <w:p w:rsidR="009A19CD" w:rsidRPr="008C60E8" w:rsidRDefault="009A19CD" w:rsidP="000E4161">
                  <w:pPr>
                    <w:rPr>
                      <w:rFonts w:ascii="Arial Narrow" w:hAnsi="Arial Narrow"/>
                    </w:rPr>
                  </w:pPr>
                  <w:r w:rsidRPr="00CA349E">
                    <w:rPr>
                      <w:rFonts w:ascii="Arial Narrow" w:hAnsi="Arial Narrow"/>
                      <w:b/>
                    </w:rPr>
                    <w:t>C</w:t>
                  </w:r>
                  <w:r>
                    <w:rPr>
                      <w:rFonts w:ascii="Arial Narrow" w:hAnsi="Arial Narrow"/>
                    </w:rPr>
                    <w:t xml:space="preserve">ampus </w:t>
                  </w:r>
                  <w:r>
                    <w:rPr>
                      <w:rFonts w:ascii="Arial Narrow" w:hAnsi="Arial Narrow"/>
                    </w:rPr>
                    <w:br/>
                  </w:r>
                  <w:r w:rsidRPr="00CA349E">
                    <w:rPr>
                      <w:rFonts w:ascii="Arial Narrow" w:hAnsi="Arial Narrow"/>
                      <w:b/>
                    </w:rPr>
                    <w:t>E</w:t>
                  </w:r>
                  <w:r>
                    <w:rPr>
                      <w:rFonts w:ascii="Arial Narrow" w:hAnsi="Arial Narrow"/>
                    </w:rPr>
                    <w:t xml:space="preserve">nvironmental </w:t>
                  </w:r>
                  <w:r>
                    <w:rPr>
                      <w:rFonts w:ascii="Arial Narrow" w:hAnsi="Arial Narrow"/>
                    </w:rPr>
                    <w:br/>
                  </w:r>
                  <w:r w:rsidRPr="00CA349E">
                    <w:rPr>
                      <w:rFonts w:ascii="Arial Narrow" w:hAnsi="Arial Narrow"/>
                      <w:b/>
                    </w:rPr>
                    <w:t>S</w:t>
                  </w:r>
                  <w:r>
                    <w:rPr>
                      <w:rFonts w:ascii="Arial Narrow" w:hAnsi="Arial Narrow"/>
                    </w:rPr>
                    <w:t xml:space="preserve">ustainability </w:t>
                  </w:r>
                  <w:r>
                    <w:rPr>
                      <w:rFonts w:ascii="Arial Narrow" w:hAnsi="Arial Narrow"/>
                    </w:rPr>
                    <w:br/>
                  </w:r>
                  <w:r w:rsidRPr="00CA349E">
                    <w:rPr>
                      <w:rFonts w:ascii="Arial Narrow" w:hAnsi="Arial Narrow"/>
                      <w:b/>
                    </w:rPr>
                    <w:t>T</w:t>
                  </w:r>
                  <w:r w:rsidRPr="00CA349E">
                    <w:rPr>
                      <w:rFonts w:ascii="Arial Narrow" w:hAnsi="Arial Narrow"/>
                    </w:rPr>
                    <w:t>eam</w:t>
                  </w:r>
                </w:p>
              </w:txbxContent>
            </v:textbox>
            <w10:wrap type="square"/>
          </v:shape>
        </w:pict>
      </w:r>
      <w:r>
        <w:rPr>
          <w:noProof/>
        </w:rPr>
        <w:pict>
          <v:shape id="_x0000_s1028" type="#_x0000_t202" style="position:absolute;margin-left:-91.4pt;margin-top:-1.35pt;width:468pt;height:60.75pt;z-index:1" stroked="f">
            <v:textbox style="mso-next-textbox:#_x0000_s1028">
              <w:txbxContent>
                <w:p w:rsidR="009A19CD" w:rsidRDefault="009A19CD" w:rsidP="000E4161">
                  <w:pPr>
                    <w:jc w:val="center"/>
                    <w:rPr>
                      <w:rFonts w:ascii="Arial Narrow" w:hAnsi="Arial Narrow"/>
                    </w:rPr>
                  </w:pPr>
                  <w:r>
                    <w:rPr>
                      <w:rFonts w:ascii="Arial Narrow" w:hAnsi="Arial Narrow"/>
                      <w:b/>
                      <w:sz w:val="32"/>
                      <w:szCs w:val="32"/>
                    </w:rPr>
                    <w:t>Minutes</w:t>
                  </w:r>
                  <w:r>
                    <w:rPr>
                      <w:rFonts w:ascii="Arial Narrow" w:hAnsi="Arial Narrow"/>
                    </w:rPr>
                    <w:br/>
                    <w:t>Fri July 23, 11:00 AM – 12:00 PM</w:t>
                  </w:r>
                  <w:r>
                    <w:rPr>
                      <w:rFonts w:ascii="Arial Narrow" w:hAnsi="Arial Narrow"/>
                      <w:b/>
                      <w:sz w:val="32"/>
                      <w:szCs w:val="32"/>
                    </w:rPr>
                    <w:br/>
                  </w:r>
                  <w:r>
                    <w:rPr>
                      <w:rFonts w:ascii="Arial Narrow" w:hAnsi="Arial Narrow"/>
                    </w:rPr>
                    <w:t xml:space="preserve">Administrative Building </w:t>
                  </w:r>
                  <w:r w:rsidRPr="000E4161">
                    <w:rPr>
                      <w:rFonts w:ascii="Arial Narrow" w:hAnsi="Arial Narrow"/>
                      <w:color w:val="000000"/>
                    </w:rPr>
                    <w:t>III,</w:t>
                  </w:r>
                  <w:r>
                    <w:rPr>
                      <w:rFonts w:ascii="Arial Narrow" w:hAnsi="Arial Narrow"/>
                    </w:rPr>
                    <w:t xml:space="preserve">  Room 124</w:t>
                  </w:r>
                </w:p>
                <w:p w:rsidR="009A19CD" w:rsidRPr="008C60E8" w:rsidRDefault="009A19CD" w:rsidP="000E4161">
                  <w:pPr>
                    <w:jc w:val="center"/>
                    <w:rPr>
                      <w:rFonts w:ascii="Arial Narrow" w:hAnsi="Arial Narrow"/>
                      <w:b/>
                      <w:sz w:val="32"/>
                      <w:szCs w:val="32"/>
                    </w:rPr>
                  </w:pPr>
                </w:p>
              </w:txbxContent>
            </v:textbox>
          </v:shape>
        </w:pict>
      </w:r>
    </w:p>
    <w:p w:rsidR="000E4161" w:rsidRDefault="000E4161"/>
    <w:p w:rsidR="000E4161" w:rsidRDefault="000E4161"/>
    <w:p w:rsidR="001E3950" w:rsidRDefault="000E4161">
      <w:r w:rsidRPr="0043106B">
        <w:rPr>
          <w:b/>
        </w:rPr>
        <w:t>Attendance</w:t>
      </w:r>
      <w:r w:rsidR="00042441">
        <w:rPr>
          <w:b/>
        </w:rPr>
        <w:br/>
      </w:r>
      <w:r w:rsidR="00872434" w:rsidRPr="003F0482">
        <w:t>Lindsay Batchelor, Tracy Dixon,</w:t>
      </w:r>
      <w:r w:rsidR="00872434" w:rsidRPr="003F0482">
        <w:rPr>
          <w:color w:val="FF0000"/>
        </w:rPr>
        <w:t xml:space="preserve"> </w:t>
      </w:r>
      <w:r w:rsidR="00872434" w:rsidRPr="003F0482">
        <w:t>Rachel Conley,</w:t>
      </w:r>
      <w:r w:rsidR="00872434" w:rsidRPr="003F0482">
        <w:rPr>
          <w:color w:val="FF0000"/>
        </w:rPr>
        <w:t xml:space="preserve"> </w:t>
      </w:r>
      <w:r w:rsidR="00872434" w:rsidRPr="003F0482">
        <w:t>Paul McConocha,</w:t>
      </w:r>
      <w:r w:rsidR="00872434" w:rsidRPr="003F0482">
        <w:rPr>
          <w:color w:val="FF0000"/>
        </w:rPr>
        <w:t xml:space="preserve"> </w:t>
      </w:r>
      <w:r w:rsidR="00872434" w:rsidRPr="003F0482">
        <w:t>Bill Davis,</w:t>
      </w:r>
      <w:r w:rsidR="00872434" w:rsidRPr="003F0482">
        <w:rPr>
          <w:color w:val="FF0000"/>
        </w:rPr>
        <w:t xml:space="preserve"> </w:t>
      </w:r>
      <w:r w:rsidR="00872434" w:rsidRPr="003F0482">
        <w:t>Erin Champion, John Carter (AEI), Bill Winner,</w:t>
      </w:r>
      <w:r w:rsidR="00872434" w:rsidRPr="003F0482">
        <w:rPr>
          <w:color w:val="FF0000"/>
        </w:rPr>
        <w:t xml:space="preserve"> </w:t>
      </w:r>
      <w:r w:rsidR="00872434" w:rsidRPr="003F0482">
        <w:t>Carole Acquesta, Jack Colby,</w:t>
      </w:r>
      <w:r w:rsidR="00872434" w:rsidRPr="003F0482">
        <w:rPr>
          <w:color w:val="FF0000"/>
        </w:rPr>
        <w:t xml:space="preserve"> </w:t>
      </w:r>
      <w:r w:rsidR="00872434" w:rsidRPr="003F0482">
        <w:t xml:space="preserve">Mahoment Accilien, David Dean, Ellen Orabone, </w:t>
      </w:r>
      <w:r w:rsidR="00AA4BC9" w:rsidRPr="003F0482">
        <w:t>Barbara Doll</w:t>
      </w:r>
      <w:r w:rsidR="00E24C14" w:rsidRPr="003F0482">
        <w:t>, Christine Klein, Rob</w:t>
      </w:r>
      <w:r w:rsidR="00AA4BC9" w:rsidRPr="003F0482">
        <w:t xml:space="preserve"> McKenna (AEI), Mike Harwood, Lisa Johnson</w:t>
      </w:r>
    </w:p>
    <w:p w:rsidR="004C0A46" w:rsidRDefault="004C0A46" w:rsidP="003156A0">
      <w:pPr>
        <w:spacing w:after="0"/>
      </w:pPr>
      <w:r w:rsidRPr="006A5334">
        <w:rPr>
          <w:b/>
        </w:rPr>
        <w:t>Introductions</w:t>
      </w:r>
      <w:r w:rsidR="00D97F04">
        <w:rPr>
          <w:b/>
        </w:rPr>
        <w:t xml:space="preserve"> and Announcements</w:t>
      </w:r>
      <w:r>
        <w:t xml:space="preserve"> </w:t>
      </w:r>
      <w:r w:rsidR="00872434">
        <w:t xml:space="preserve">– Jack </w:t>
      </w:r>
    </w:p>
    <w:p w:rsidR="00642690" w:rsidRDefault="00642690" w:rsidP="00872434">
      <w:pPr>
        <w:numPr>
          <w:ilvl w:val="0"/>
          <w:numId w:val="14"/>
        </w:numPr>
        <w:spacing w:after="0"/>
      </w:pPr>
      <w:r>
        <w:t>Welcome</w:t>
      </w:r>
      <w:r w:rsidR="00872434">
        <w:t xml:space="preserve"> Rachel Conley, new Student Government representative for the Sustainability Commission</w:t>
      </w:r>
    </w:p>
    <w:p w:rsidR="00D41527" w:rsidRDefault="00D41527" w:rsidP="00D97F04">
      <w:pPr>
        <w:numPr>
          <w:ilvl w:val="0"/>
          <w:numId w:val="14"/>
        </w:numPr>
        <w:spacing w:after="0"/>
      </w:pPr>
      <w:r>
        <w:t>Formation of a Centennial Campus Sustainability Team</w:t>
      </w:r>
      <w:r w:rsidR="001607DE">
        <w:t xml:space="preserve"> to look at educational opportunities for Lake Raleigh, Lonnie Poole Golf Course, creek</w:t>
      </w:r>
    </w:p>
    <w:p w:rsidR="00D97F04" w:rsidRDefault="00D97F04" w:rsidP="00E24C14">
      <w:pPr>
        <w:numPr>
          <w:ilvl w:val="0"/>
          <w:numId w:val="14"/>
        </w:numPr>
        <w:spacing w:after="0"/>
      </w:pPr>
      <w:r>
        <w:t xml:space="preserve">Environmental Sciences </w:t>
      </w:r>
      <w:r w:rsidR="001607DE">
        <w:t>interdisciplinary program approved. N</w:t>
      </w:r>
      <w:r>
        <w:t xml:space="preserve">ew ES 200 &amp; ES 300 courses were approved for certain </w:t>
      </w:r>
      <w:r w:rsidR="001607DE">
        <w:t xml:space="preserve">interdisciplinary, </w:t>
      </w:r>
      <w:r>
        <w:t xml:space="preserve">GEP </w:t>
      </w:r>
      <w:r w:rsidR="001607DE">
        <w:t>requirements.</w:t>
      </w:r>
    </w:p>
    <w:p w:rsidR="00E24C14" w:rsidRDefault="00E24C14" w:rsidP="00872434">
      <w:pPr>
        <w:spacing w:after="0"/>
        <w:rPr>
          <w:b/>
        </w:rPr>
      </w:pPr>
    </w:p>
    <w:p w:rsidR="00AB0446" w:rsidRDefault="00EF63CD" w:rsidP="00872434">
      <w:pPr>
        <w:spacing w:after="0"/>
      </w:pPr>
      <w:r w:rsidRPr="006A5334">
        <w:rPr>
          <w:b/>
        </w:rPr>
        <w:t>Update on CAP</w:t>
      </w:r>
      <w:r>
        <w:t xml:space="preserve"> </w:t>
      </w:r>
      <w:r w:rsidR="00872434">
        <w:t xml:space="preserve">– Lindsay </w:t>
      </w:r>
      <w:r w:rsidR="001607DE">
        <w:t>(see presentation)</w:t>
      </w:r>
    </w:p>
    <w:p w:rsidR="00872434" w:rsidRDefault="00872434" w:rsidP="00D97F04">
      <w:pPr>
        <w:numPr>
          <w:ilvl w:val="0"/>
          <w:numId w:val="14"/>
        </w:numPr>
        <w:spacing w:after="0"/>
      </w:pPr>
      <w:r>
        <w:t>Process of forming the climate action plan portfolio and next steps</w:t>
      </w:r>
    </w:p>
    <w:p w:rsidR="00D97F04" w:rsidRDefault="001607DE" w:rsidP="00E24C14">
      <w:pPr>
        <w:numPr>
          <w:ilvl w:val="0"/>
          <w:numId w:val="14"/>
        </w:numPr>
        <w:spacing w:after="0"/>
      </w:pPr>
      <w:r>
        <w:t xml:space="preserve">CAP development history (January - </w:t>
      </w:r>
      <w:r w:rsidR="00E24C14">
        <w:t>July)</w:t>
      </w:r>
    </w:p>
    <w:p w:rsidR="00E24C14" w:rsidRDefault="00E24C14" w:rsidP="00E24C14">
      <w:pPr>
        <w:numPr>
          <w:ilvl w:val="0"/>
          <w:numId w:val="14"/>
        </w:numPr>
        <w:spacing w:after="0"/>
      </w:pPr>
      <w:r>
        <w:t>Currently at the portfolio optimization step in the CAP approach</w:t>
      </w:r>
    </w:p>
    <w:p w:rsidR="00E24C14" w:rsidRDefault="006445C8" w:rsidP="00E24C14">
      <w:pPr>
        <w:numPr>
          <w:ilvl w:val="0"/>
          <w:numId w:val="14"/>
        </w:numPr>
        <w:spacing w:after="0"/>
      </w:pPr>
      <w:r>
        <w:t>Explanation of abate</w:t>
      </w:r>
      <w:r w:rsidR="008A66A3">
        <w:t>ment curve with relative contribution towards neutrality</w:t>
      </w:r>
      <w:r>
        <w:t xml:space="preserve"> </w:t>
      </w:r>
      <w:r w:rsidR="00D00C08">
        <w:t>and levelized cost savings</w:t>
      </w:r>
    </w:p>
    <w:p w:rsidR="006445C8" w:rsidRDefault="006445C8" w:rsidP="00E24C14">
      <w:pPr>
        <w:numPr>
          <w:ilvl w:val="0"/>
          <w:numId w:val="14"/>
        </w:numPr>
        <w:spacing w:after="0"/>
      </w:pPr>
      <w:r>
        <w:t>AEI has developed a website to house all of the documentation for the CAP process (base case, long list, resource options, model, portfolio)</w:t>
      </w:r>
    </w:p>
    <w:p w:rsidR="006445C8" w:rsidRPr="006445C8" w:rsidRDefault="006445C8" w:rsidP="00872434">
      <w:pPr>
        <w:numPr>
          <w:ilvl w:val="0"/>
          <w:numId w:val="14"/>
        </w:numPr>
        <w:spacing w:after="0"/>
        <w:rPr>
          <w:b/>
        </w:rPr>
      </w:pPr>
      <w:r>
        <w:t>Model – excel spreadsheet with data (background, GHG, financial)</w:t>
      </w:r>
    </w:p>
    <w:p w:rsidR="00E24C14" w:rsidRDefault="006445C8" w:rsidP="00872434">
      <w:pPr>
        <w:numPr>
          <w:ilvl w:val="0"/>
          <w:numId w:val="14"/>
        </w:numPr>
        <w:spacing w:after="0"/>
      </w:pPr>
      <w:r w:rsidRPr="006445C8">
        <w:t>For those who are interested in learning more about the model, offering an opportunity for a crash course with AEI to learn how to navigate</w:t>
      </w:r>
      <w:r>
        <w:t xml:space="preserve"> and understand</w:t>
      </w:r>
      <w:r w:rsidRPr="006445C8">
        <w:t xml:space="preserve"> the website and model </w:t>
      </w:r>
      <w:r>
        <w:t>(open for anyone, requires a login)</w:t>
      </w:r>
    </w:p>
    <w:p w:rsidR="006445C8" w:rsidRDefault="006445C8" w:rsidP="00872434">
      <w:pPr>
        <w:numPr>
          <w:ilvl w:val="0"/>
          <w:numId w:val="14"/>
        </w:numPr>
        <w:spacing w:after="0"/>
      </w:pPr>
      <w:r>
        <w:t xml:space="preserve">Next steps: reviewing and </w:t>
      </w:r>
      <w:r w:rsidR="00F60A93">
        <w:t>confirming modeling assumptions;</w:t>
      </w:r>
      <w:r>
        <w:t xml:space="preserve"> present draft portfolio to CEST (August 2</w:t>
      </w:r>
      <w:r w:rsidRPr="006445C8">
        <w:rPr>
          <w:vertAlign w:val="superscript"/>
        </w:rPr>
        <w:t>nd</w:t>
      </w:r>
      <w:r w:rsidR="00F60A93">
        <w:t>); finalize CAP portfolio; update documentation;</w:t>
      </w:r>
      <w:r>
        <w:t xml:space="preserve"> </w:t>
      </w:r>
      <w:r w:rsidR="00F60A93">
        <w:t>support development of final CAP documents (summary version and separate</w:t>
      </w:r>
      <w:r w:rsidR="008A66A3">
        <w:t xml:space="preserve"> CAP document</w:t>
      </w:r>
      <w:r w:rsidR="00F60A93">
        <w:t xml:space="preserve"> with more detail)</w:t>
      </w:r>
    </w:p>
    <w:p w:rsidR="008A66A3" w:rsidRDefault="008A66A3" w:rsidP="00872434">
      <w:pPr>
        <w:numPr>
          <w:ilvl w:val="0"/>
          <w:numId w:val="14"/>
        </w:numPr>
        <w:spacing w:after="0"/>
      </w:pPr>
      <w:r>
        <w:t>AEI Prediction: Next 40 years, emissions should stay relatively constant even with the aggressive growth of the campus development, enrollment (up to 50,000 by 2050), etc.</w:t>
      </w:r>
    </w:p>
    <w:p w:rsidR="008A66A3" w:rsidRPr="006445C8" w:rsidRDefault="008A66A3" w:rsidP="00872434">
      <w:pPr>
        <w:numPr>
          <w:ilvl w:val="0"/>
          <w:numId w:val="14"/>
        </w:numPr>
        <w:spacing w:after="0"/>
      </w:pPr>
      <w:r>
        <w:t>House Bill 1292 – university campuses can retain surplus for energy conservation projects</w:t>
      </w:r>
    </w:p>
    <w:p w:rsidR="006445C8" w:rsidRDefault="006445C8" w:rsidP="00872434">
      <w:pPr>
        <w:spacing w:after="0"/>
        <w:rPr>
          <w:b/>
        </w:rPr>
      </w:pPr>
    </w:p>
    <w:p w:rsidR="00872434" w:rsidRDefault="00872434" w:rsidP="00872434">
      <w:pPr>
        <w:spacing w:after="0"/>
      </w:pPr>
      <w:r w:rsidRPr="00872434">
        <w:rPr>
          <w:b/>
        </w:rPr>
        <w:t>Review of upcoming deadlines</w:t>
      </w:r>
      <w:r w:rsidRPr="00872434">
        <w:t xml:space="preserve"> </w:t>
      </w:r>
      <w:r>
        <w:t>–</w:t>
      </w:r>
      <w:r w:rsidRPr="00872434">
        <w:t xml:space="preserve"> Tracy</w:t>
      </w:r>
      <w:r w:rsidR="001607DE">
        <w:t xml:space="preserve"> (see presentation)</w:t>
      </w:r>
    </w:p>
    <w:p w:rsidR="00D41527" w:rsidRDefault="00544F3C" w:rsidP="00E24C14">
      <w:pPr>
        <w:numPr>
          <w:ilvl w:val="0"/>
          <w:numId w:val="14"/>
        </w:numPr>
        <w:spacing w:after="0"/>
      </w:pPr>
      <w:r>
        <w:t>Overview of sustainability planning timeline</w:t>
      </w:r>
    </w:p>
    <w:p w:rsidR="00544F3C" w:rsidRDefault="00544F3C" w:rsidP="00E24C14">
      <w:pPr>
        <w:numPr>
          <w:ilvl w:val="0"/>
          <w:numId w:val="14"/>
        </w:numPr>
        <w:spacing w:after="0"/>
      </w:pPr>
      <w:r>
        <w:t xml:space="preserve">Message to campus: one large sustainability strategic plan with various </w:t>
      </w:r>
      <w:r w:rsidR="001607DE">
        <w:t>supporting documents</w:t>
      </w:r>
      <w:r>
        <w:t xml:space="preserve"> that fall within the overall plan</w:t>
      </w:r>
      <w:r w:rsidR="004411CB">
        <w:t xml:space="preserve"> (tactical plan, CAP, energy management plan)</w:t>
      </w:r>
    </w:p>
    <w:p w:rsidR="00544F3C" w:rsidRDefault="00544F3C" w:rsidP="00E24C14">
      <w:pPr>
        <w:numPr>
          <w:ilvl w:val="0"/>
          <w:numId w:val="14"/>
        </w:numPr>
        <w:spacing w:after="0"/>
      </w:pPr>
      <w:r>
        <w:lastRenderedPageBreak/>
        <w:t xml:space="preserve">Aug </w:t>
      </w:r>
      <w:r w:rsidR="004411CB">
        <w:t>2: CEST m</w:t>
      </w:r>
      <w:r>
        <w:t>eeting</w:t>
      </w:r>
      <w:r w:rsidR="004411CB">
        <w:t xml:space="preserve">, </w:t>
      </w:r>
      <w:r>
        <w:t>finalize CAP portfolio</w:t>
      </w:r>
    </w:p>
    <w:p w:rsidR="00544F3C" w:rsidRDefault="00544F3C" w:rsidP="00E24C14">
      <w:pPr>
        <w:numPr>
          <w:ilvl w:val="0"/>
          <w:numId w:val="14"/>
        </w:numPr>
        <w:spacing w:after="0"/>
      </w:pPr>
      <w:r>
        <w:t>Aug 23: CEST meeting, approve the sustainability strategic plan to send to working groups (Aug 11</w:t>
      </w:r>
      <w:r w:rsidR="004411CB">
        <w:t>:</w:t>
      </w:r>
      <w:r>
        <w:t xml:space="preserve"> draft available)</w:t>
      </w:r>
    </w:p>
    <w:p w:rsidR="00544F3C" w:rsidRDefault="00544F3C" w:rsidP="00544F3C">
      <w:pPr>
        <w:numPr>
          <w:ilvl w:val="0"/>
          <w:numId w:val="14"/>
        </w:numPr>
        <w:spacing w:after="0"/>
      </w:pPr>
      <w:r>
        <w:t>Sep 10: Tactics due to CEST</w:t>
      </w:r>
    </w:p>
    <w:p w:rsidR="00544F3C" w:rsidRDefault="00544F3C" w:rsidP="00E24C14">
      <w:pPr>
        <w:numPr>
          <w:ilvl w:val="0"/>
          <w:numId w:val="14"/>
        </w:numPr>
        <w:spacing w:after="0"/>
      </w:pPr>
      <w:r>
        <w:t>Sep 22: CEST meeting, approve sustainability strategic plan based on working groups feedback and going for campus input</w:t>
      </w:r>
      <w:r w:rsidR="00EF55C9">
        <w:t>, approve other documents to send to working groups</w:t>
      </w:r>
      <w:r>
        <w:t xml:space="preserve"> (Sep 17</w:t>
      </w:r>
      <w:r w:rsidR="003C11C0">
        <w:t>:</w:t>
      </w:r>
      <w:r>
        <w:t xml:space="preserve"> drafts</w:t>
      </w:r>
      <w:r w:rsidR="003C11C0">
        <w:t xml:space="preserve"> of tactical plan, energy management plan, and CAP</w:t>
      </w:r>
      <w:r>
        <w:t xml:space="preserve"> available)</w:t>
      </w:r>
    </w:p>
    <w:p w:rsidR="00544F3C" w:rsidRDefault="00544F3C" w:rsidP="00E24C14">
      <w:pPr>
        <w:numPr>
          <w:ilvl w:val="0"/>
          <w:numId w:val="14"/>
        </w:numPr>
        <w:spacing w:after="0"/>
      </w:pPr>
      <w:r>
        <w:t>Sep 27: Sustainability strategic plan online, begin campus input</w:t>
      </w:r>
    </w:p>
    <w:p w:rsidR="00544F3C" w:rsidRDefault="00544F3C" w:rsidP="00E24C14">
      <w:pPr>
        <w:numPr>
          <w:ilvl w:val="0"/>
          <w:numId w:val="14"/>
        </w:numPr>
        <w:spacing w:after="0"/>
      </w:pPr>
      <w:r>
        <w:t>Oct 28: CEST meeting, approve tactical plan, CAP, and/or energy management plan to send to working groups</w:t>
      </w:r>
    </w:p>
    <w:p w:rsidR="00544F3C" w:rsidRDefault="00544F3C" w:rsidP="00E24C14">
      <w:pPr>
        <w:numPr>
          <w:ilvl w:val="0"/>
          <w:numId w:val="14"/>
        </w:numPr>
        <w:spacing w:after="0"/>
      </w:pPr>
      <w:r>
        <w:t>Nov 8: tactical plan, CAP, energy management plan available online</w:t>
      </w:r>
    </w:p>
    <w:p w:rsidR="00544F3C" w:rsidRDefault="00544F3C" w:rsidP="00E24C14">
      <w:pPr>
        <w:numPr>
          <w:ilvl w:val="0"/>
          <w:numId w:val="14"/>
        </w:numPr>
        <w:spacing w:after="0"/>
      </w:pPr>
      <w:r>
        <w:t>Nov 11: CEST meeting, approve final sustainability strategic plan base</w:t>
      </w:r>
      <w:r w:rsidR="00485F0E">
        <w:t>d on campus input and forward to Executive O</w:t>
      </w:r>
      <w:r>
        <w:t>fficers</w:t>
      </w:r>
    </w:p>
    <w:p w:rsidR="001607DE" w:rsidRDefault="001607DE" w:rsidP="00E24C14">
      <w:pPr>
        <w:numPr>
          <w:ilvl w:val="0"/>
          <w:numId w:val="14"/>
        </w:numPr>
        <w:spacing w:after="0"/>
      </w:pPr>
      <w:r>
        <w:t>Question to the group – should the working groups review the 3 supporting documents in addition to the strategic plan</w:t>
      </w:r>
    </w:p>
    <w:p w:rsidR="009A19CD" w:rsidRDefault="009A19CD" w:rsidP="00E24C14">
      <w:pPr>
        <w:numPr>
          <w:ilvl w:val="0"/>
          <w:numId w:val="14"/>
        </w:numPr>
        <w:spacing w:after="0"/>
      </w:pPr>
      <w:r>
        <w:t>Working group</w:t>
      </w:r>
      <w:r w:rsidR="009B088E">
        <w:t>s</w:t>
      </w:r>
      <w:r>
        <w:t xml:space="preserve"> – </w:t>
      </w:r>
      <w:r w:rsidR="009B088E">
        <w:t xml:space="preserve"> may need </w:t>
      </w:r>
      <w:r>
        <w:t>common briefings and then break-out for</w:t>
      </w:r>
      <w:r w:rsidR="009B088E">
        <w:t xml:space="preserve"> groups, to discuss overlaps</w:t>
      </w:r>
    </w:p>
    <w:p w:rsidR="009B088E" w:rsidRDefault="009B088E" w:rsidP="00E24C14">
      <w:pPr>
        <w:numPr>
          <w:ilvl w:val="0"/>
          <w:numId w:val="14"/>
        </w:numPr>
        <w:spacing w:after="0"/>
      </w:pPr>
      <w:r>
        <w:t>Need to make sure that the supporting documents need to be far enough along to be able to truly support the larger sustainability plan, so that it is possible to refer to them as you read along the large plan</w:t>
      </w:r>
    </w:p>
    <w:p w:rsidR="00440266" w:rsidRDefault="00440266" w:rsidP="00E24C14">
      <w:pPr>
        <w:numPr>
          <w:ilvl w:val="0"/>
          <w:numId w:val="14"/>
        </w:numPr>
        <w:spacing w:after="0"/>
      </w:pPr>
      <w:r>
        <w:t xml:space="preserve">Next steps: decide </w:t>
      </w:r>
      <w:r w:rsidR="001607DE">
        <w:t xml:space="preserve">the role </w:t>
      </w:r>
      <w:r>
        <w:t>working groups in the revision of the supporting documents; keep dates flexible</w:t>
      </w:r>
    </w:p>
    <w:p w:rsidR="00E24C14" w:rsidRDefault="00E24C14" w:rsidP="00872434">
      <w:pPr>
        <w:spacing w:after="0"/>
        <w:rPr>
          <w:b/>
        </w:rPr>
      </w:pPr>
    </w:p>
    <w:p w:rsidR="00872434" w:rsidRDefault="00872434" w:rsidP="00872434">
      <w:pPr>
        <w:spacing w:after="0"/>
      </w:pPr>
      <w:r>
        <w:rPr>
          <w:b/>
        </w:rPr>
        <w:t xml:space="preserve">Outline for University Sustainability Plan </w:t>
      </w:r>
      <w:r>
        <w:t xml:space="preserve"> - Tracy </w:t>
      </w:r>
    </w:p>
    <w:p w:rsidR="00E24C14" w:rsidRDefault="00D334CD" w:rsidP="00E24C14">
      <w:pPr>
        <w:numPr>
          <w:ilvl w:val="0"/>
          <w:numId w:val="14"/>
        </w:numPr>
        <w:spacing w:after="0"/>
      </w:pPr>
      <w:r>
        <w:t>Handout passed around</w:t>
      </w:r>
    </w:p>
    <w:p w:rsidR="001607DE" w:rsidRDefault="001607DE" w:rsidP="00E24C14">
      <w:pPr>
        <w:numPr>
          <w:ilvl w:val="0"/>
          <w:numId w:val="14"/>
        </w:numPr>
        <w:spacing w:after="0"/>
      </w:pPr>
      <w:r>
        <w:t>Writing is starting – provide outline input to Tracy</w:t>
      </w:r>
    </w:p>
    <w:p w:rsidR="00E24C14" w:rsidRDefault="00E24C14" w:rsidP="00E24C14">
      <w:pPr>
        <w:spacing w:after="0"/>
        <w:rPr>
          <w:b/>
        </w:rPr>
      </w:pPr>
    </w:p>
    <w:p w:rsidR="00872434" w:rsidRDefault="00872434" w:rsidP="00872434">
      <w:pPr>
        <w:spacing w:after="0"/>
      </w:pPr>
      <w:r w:rsidRPr="00872434">
        <w:rPr>
          <w:b/>
        </w:rPr>
        <w:t>Results of Student Impact</w:t>
      </w:r>
      <w:r>
        <w:t xml:space="preserve"> – Tracy</w:t>
      </w:r>
    </w:p>
    <w:p w:rsidR="00E24C14" w:rsidRDefault="00D334CD" w:rsidP="00E24C14">
      <w:pPr>
        <w:numPr>
          <w:ilvl w:val="0"/>
          <w:numId w:val="14"/>
        </w:numPr>
        <w:spacing w:after="0"/>
      </w:pPr>
      <w:r>
        <w:t>Handout passed around</w:t>
      </w:r>
    </w:p>
    <w:p w:rsidR="00D334CD" w:rsidRDefault="00D334CD" w:rsidP="00E24C14">
      <w:pPr>
        <w:numPr>
          <w:ilvl w:val="0"/>
          <w:numId w:val="14"/>
        </w:numPr>
        <w:spacing w:after="0"/>
      </w:pPr>
      <w:r>
        <w:t>Will be discussed at next meeting</w:t>
      </w:r>
    </w:p>
    <w:p w:rsidR="00E24C14" w:rsidRDefault="00E24C14" w:rsidP="00E24C14">
      <w:pPr>
        <w:spacing w:after="0"/>
        <w:rPr>
          <w:b/>
        </w:rPr>
      </w:pPr>
    </w:p>
    <w:p w:rsidR="00872434" w:rsidRDefault="00872434" w:rsidP="00872434">
      <w:pPr>
        <w:spacing w:after="0"/>
      </w:pPr>
      <w:r w:rsidRPr="00872434">
        <w:rPr>
          <w:b/>
        </w:rPr>
        <w:t>Sustainability PSA Preview</w:t>
      </w:r>
      <w:r>
        <w:t xml:space="preserve"> – David</w:t>
      </w:r>
    </w:p>
    <w:p w:rsidR="00D41527" w:rsidRDefault="00D334CD" w:rsidP="00E24C14">
      <w:pPr>
        <w:numPr>
          <w:ilvl w:val="0"/>
          <w:numId w:val="14"/>
        </w:numPr>
        <w:spacing w:after="0"/>
      </w:pPr>
      <w:r>
        <w:t>Grand unveiling on July 29 at BTEC</w:t>
      </w:r>
    </w:p>
    <w:p w:rsidR="003B3624" w:rsidRDefault="003B3624" w:rsidP="00E24C14">
      <w:pPr>
        <w:numPr>
          <w:ilvl w:val="0"/>
          <w:numId w:val="14"/>
        </w:numPr>
        <w:spacing w:after="0"/>
      </w:pPr>
      <w:r>
        <w:t>One-minute version</w:t>
      </w:r>
    </w:p>
    <w:p w:rsidR="003B3624" w:rsidRPr="00872434" w:rsidRDefault="003B3624" w:rsidP="00E24C14">
      <w:pPr>
        <w:numPr>
          <w:ilvl w:val="0"/>
          <w:numId w:val="14"/>
        </w:numPr>
        <w:spacing w:after="0"/>
      </w:pPr>
      <w:r>
        <w:t>30 second version to get out on campus soon</w:t>
      </w:r>
    </w:p>
    <w:sectPr w:rsidR="003B3624" w:rsidRPr="00872434" w:rsidSect="00885C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47D"/>
    <w:multiLevelType w:val="hybridMultilevel"/>
    <w:tmpl w:val="3092A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D1F93"/>
    <w:multiLevelType w:val="hybridMultilevel"/>
    <w:tmpl w:val="1B22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F7B92"/>
    <w:multiLevelType w:val="hybridMultilevel"/>
    <w:tmpl w:val="C71AB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170BA"/>
    <w:multiLevelType w:val="hybridMultilevel"/>
    <w:tmpl w:val="A7F29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83287"/>
    <w:multiLevelType w:val="hybridMultilevel"/>
    <w:tmpl w:val="82AC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639B2"/>
    <w:multiLevelType w:val="hybridMultilevel"/>
    <w:tmpl w:val="28D2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23005"/>
    <w:multiLevelType w:val="hybridMultilevel"/>
    <w:tmpl w:val="BB76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B276A"/>
    <w:multiLevelType w:val="hybridMultilevel"/>
    <w:tmpl w:val="9F5C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A271F8"/>
    <w:multiLevelType w:val="hybridMultilevel"/>
    <w:tmpl w:val="2206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EC0D01"/>
    <w:multiLevelType w:val="hybridMultilevel"/>
    <w:tmpl w:val="6CD6AE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45A651C"/>
    <w:multiLevelType w:val="hybridMultilevel"/>
    <w:tmpl w:val="7B6C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2A425F"/>
    <w:multiLevelType w:val="hybridMultilevel"/>
    <w:tmpl w:val="F3B4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F97BCE"/>
    <w:multiLevelType w:val="hybridMultilevel"/>
    <w:tmpl w:val="B27E0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FDE3A48"/>
    <w:multiLevelType w:val="hybridMultilevel"/>
    <w:tmpl w:val="56FA1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13"/>
  </w:num>
  <w:num w:numId="4">
    <w:abstractNumId w:val="1"/>
  </w:num>
  <w:num w:numId="5">
    <w:abstractNumId w:val="11"/>
  </w:num>
  <w:num w:numId="6">
    <w:abstractNumId w:val="6"/>
  </w:num>
  <w:num w:numId="7">
    <w:abstractNumId w:val="5"/>
  </w:num>
  <w:num w:numId="8">
    <w:abstractNumId w:val="10"/>
  </w:num>
  <w:num w:numId="9">
    <w:abstractNumId w:val="8"/>
  </w:num>
  <w:num w:numId="10">
    <w:abstractNumId w:val="7"/>
  </w:num>
  <w:num w:numId="11">
    <w:abstractNumId w:val="2"/>
  </w:num>
  <w:num w:numId="12">
    <w:abstractNumId w:val="3"/>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7589"/>
    <w:rsid w:val="00002B43"/>
    <w:rsid w:val="00006707"/>
    <w:rsid w:val="000119CF"/>
    <w:rsid w:val="00012DA7"/>
    <w:rsid w:val="00014BAC"/>
    <w:rsid w:val="00040241"/>
    <w:rsid w:val="00042441"/>
    <w:rsid w:val="0005315E"/>
    <w:rsid w:val="00075BE7"/>
    <w:rsid w:val="000C783D"/>
    <w:rsid w:val="000E4161"/>
    <w:rsid w:val="001607DE"/>
    <w:rsid w:val="00196782"/>
    <w:rsid w:val="001E3950"/>
    <w:rsid w:val="00240FC8"/>
    <w:rsid w:val="00267BD6"/>
    <w:rsid w:val="00272F94"/>
    <w:rsid w:val="002B1B47"/>
    <w:rsid w:val="002B2506"/>
    <w:rsid w:val="002C462D"/>
    <w:rsid w:val="002E7B11"/>
    <w:rsid w:val="003156A0"/>
    <w:rsid w:val="003579E0"/>
    <w:rsid w:val="003633B1"/>
    <w:rsid w:val="00395F4D"/>
    <w:rsid w:val="003B3624"/>
    <w:rsid w:val="003C11C0"/>
    <w:rsid w:val="003E1671"/>
    <w:rsid w:val="003E7589"/>
    <w:rsid w:val="003F0482"/>
    <w:rsid w:val="0043106B"/>
    <w:rsid w:val="00440266"/>
    <w:rsid w:val="004411CB"/>
    <w:rsid w:val="00461936"/>
    <w:rsid w:val="004649F3"/>
    <w:rsid w:val="00485F0E"/>
    <w:rsid w:val="004C0A46"/>
    <w:rsid w:val="004F4566"/>
    <w:rsid w:val="00544F3C"/>
    <w:rsid w:val="00582570"/>
    <w:rsid w:val="005C3341"/>
    <w:rsid w:val="005E158A"/>
    <w:rsid w:val="00642690"/>
    <w:rsid w:val="006445C8"/>
    <w:rsid w:val="00645944"/>
    <w:rsid w:val="00650C46"/>
    <w:rsid w:val="00652CEB"/>
    <w:rsid w:val="006713F8"/>
    <w:rsid w:val="006A5334"/>
    <w:rsid w:val="006C365B"/>
    <w:rsid w:val="006C51DB"/>
    <w:rsid w:val="006C6B29"/>
    <w:rsid w:val="0071349B"/>
    <w:rsid w:val="00737746"/>
    <w:rsid w:val="00756955"/>
    <w:rsid w:val="007E2224"/>
    <w:rsid w:val="008246D0"/>
    <w:rsid w:val="00872434"/>
    <w:rsid w:val="00885CF3"/>
    <w:rsid w:val="00895A22"/>
    <w:rsid w:val="008A66A3"/>
    <w:rsid w:val="0090766E"/>
    <w:rsid w:val="009079F0"/>
    <w:rsid w:val="009A19CD"/>
    <w:rsid w:val="009B088E"/>
    <w:rsid w:val="00A72CB1"/>
    <w:rsid w:val="00AA4BC9"/>
    <w:rsid w:val="00AB0446"/>
    <w:rsid w:val="00BA4B9D"/>
    <w:rsid w:val="00C22F7E"/>
    <w:rsid w:val="00CE7C00"/>
    <w:rsid w:val="00CF392A"/>
    <w:rsid w:val="00D00C08"/>
    <w:rsid w:val="00D13AD8"/>
    <w:rsid w:val="00D334CD"/>
    <w:rsid w:val="00D33536"/>
    <w:rsid w:val="00D34E39"/>
    <w:rsid w:val="00D41527"/>
    <w:rsid w:val="00D73718"/>
    <w:rsid w:val="00D97F04"/>
    <w:rsid w:val="00E24C14"/>
    <w:rsid w:val="00E26ADA"/>
    <w:rsid w:val="00EB7681"/>
    <w:rsid w:val="00EF55C9"/>
    <w:rsid w:val="00EF63CD"/>
    <w:rsid w:val="00F07A20"/>
    <w:rsid w:val="00F60A93"/>
    <w:rsid w:val="00F837EC"/>
    <w:rsid w:val="00F8673F"/>
    <w:rsid w:val="00F96A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58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2010-07-26T19:35:00Z</dcterms:created>
  <dcterms:modified xsi:type="dcterms:W3CDTF">2010-07-26T19:35:00Z</dcterms:modified>
</cp:coreProperties>
</file>