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61" w:rsidRDefault="000B77C6">
      <w:r>
        <w:rPr>
          <w:noProof/>
        </w:rPr>
        <w:pict>
          <v:line id="_x0000_s1030" style="position:absolute;z-index:3" from="-86.45pt,67.55pt" to="381.55pt,67.55pt" strokeweight="4.5pt">
            <v:stroke linestyle="thick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45pt;margin-top:-1.35pt;width:76.4pt;height:60.75pt;z-index:2" stroked="f">
            <v:textbox style="mso-next-textbox:#_x0000_s1029">
              <w:txbxContent>
                <w:p w:rsidR="003156A0" w:rsidRPr="008C60E8" w:rsidRDefault="003156A0" w:rsidP="000E4161">
                  <w:pPr>
                    <w:rPr>
                      <w:rFonts w:ascii="Arial Narrow" w:hAnsi="Arial Narrow"/>
                    </w:rPr>
                  </w:pPr>
                  <w:r w:rsidRPr="00CA349E">
                    <w:rPr>
                      <w:rFonts w:ascii="Arial Narrow" w:hAnsi="Arial Narrow"/>
                      <w:b/>
                    </w:rPr>
                    <w:t>C</w:t>
                  </w:r>
                  <w:r>
                    <w:rPr>
                      <w:rFonts w:ascii="Arial Narrow" w:hAnsi="Arial Narrow"/>
                    </w:rPr>
                    <w:t xml:space="preserve">ampus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E</w:t>
                  </w:r>
                  <w:r>
                    <w:rPr>
                      <w:rFonts w:ascii="Arial Narrow" w:hAnsi="Arial Narrow"/>
                    </w:rPr>
                    <w:t xml:space="preserve">nvironmental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S</w:t>
                  </w:r>
                  <w:r>
                    <w:rPr>
                      <w:rFonts w:ascii="Arial Narrow" w:hAnsi="Arial Narrow"/>
                    </w:rPr>
                    <w:t xml:space="preserve">ustainability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T</w:t>
                  </w:r>
                  <w:r w:rsidRPr="00CA349E">
                    <w:rPr>
                      <w:rFonts w:ascii="Arial Narrow" w:hAnsi="Arial Narrow"/>
                    </w:rPr>
                    <w:t>eam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91.4pt;margin-top:-1.35pt;width:468pt;height:60.75pt;z-index:1" stroked="f">
            <v:textbox style="mso-next-textbox:#_x0000_s1028">
              <w:txbxContent>
                <w:p w:rsidR="003156A0" w:rsidRDefault="003156A0" w:rsidP="000E4161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Minutes</w:t>
                  </w:r>
                  <w:r>
                    <w:rPr>
                      <w:rFonts w:ascii="Arial Narrow" w:hAnsi="Arial Narrow"/>
                    </w:rPr>
                    <w:br/>
                    <w:t>Wed. March 24,  3:00 – 4:30 PM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Arial Narrow" w:hAnsi="Arial Narrow"/>
                    </w:rPr>
                    <w:t xml:space="preserve">Administrative Building </w:t>
                  </w:r>
                  <w:r w:rsidRPr="000E4161">
                    <w:rPr>
                      <w:rFonts w:ascii="Arial Narrow" w:hAnsi="Arial Narrow"/>
                      <w:color w:val="000000"/>
                    </w:rPr>
                    <w:t>III,</w:t>
                  </w:r>
                  <w:r>
                    <w:rPr>
                      <w:rFonts w:ascii="Arial Narrow" w:hAnsi="Arial Narrow"/>
                    </w:rPr>
                    <w:t xml:space="preserve">  Room 110</w:t>
                  </w:r>
                </w:p>
                <w:p w:rsidR="003156A0" w:rsidRPr="008C60E8" w:rsidRDefault="003156A0" w:rsidP="000E4161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E4161" w:rsidRDefault="000E4161"/>
    <w:p w:rsidR="000E4161" w:rsidRDefault="000E4161"/>
    <w:p w:rsidR="001E3950" w:rsidRDefault="000E4161">
      <w:r w:rsidRPr="0043106B">
        <w:rPr>
          <w:b/>
        </w:rPr>
        <w:t>Attendance</w:t>
      </w:r>
      <w:r w:rsidR="00042441">
        <w:rPr>
          <w:b/>
        </w:rPr>
        <w:br/>
      </w:r>
      <w:r w:rsidR="001E3950">
        <w:t>John Carter (AEI), Ellen Orabone, Erin Champion, Bryan Maxwell, Paul McConocha, Nessa Stone, Tracy Dixon, Bill Winner</w:t>
      </w:r>
      <w:r w:rsidR="00042441">
        <w:t>, Rob McKenna (Energy Strategies), Jack Colby</w:t>
      </w:r>
      <w:r w:rsidR="00C22F7E">
        <w:t>, Matt Peterson</w:t>
      </w:r>
      <w:r w:rsidR="00012DA7">
        <w:t>, Carol Acquesta, Brian O’Sullivan, Jeff Hightower, Lisa Johnson</w:t>
      </w:r>
      <w:r w:rsidR="00895A22">
        <w:t>, Barry Olson, David Dean</w:t>
      </w:r>
      <w:r w:rsidR="00756955">
        <w:t>, Nat Greer</w:t>
      </w:r>
    </w:p>
    <w:p w:rsidR="004C0A46" w:rsidRDefault="004C0A46" w:rsidP="003156A0">
      <w:pPr>
        <w:spacing w:after="0"/>
      </w:pPr>
      <w:r w:rsidRPr="006A5334">
        <w:rPr>
          <w:b/>
        </w:rPr>
        <w:t>Introductions</w:t>
      </w:r>
      <w:r>
        <w:t xml:space="preserve"> </w:t>
      </w:r>
      <w:r w:rsidR="00012DA7">
        <w:t>–</w:t>
      </w:r>
      <w:r>
        <w:t xml:space="preserve"> Bill</w:t>
      </w:r>
    </w:p>
    <w:p w:rsidR="00012DA7" w:rsidRDefault="00EF63CD" w:rsidP="003156A0">
      <w:pPr>
        <w:spacing w:after="0"/>
      </w:pPr>
      <w:r w:rsidRPr="006A5334">
        <w:rPr>
          <w:b/>
        </w:rPr>
        <w:t>Update on CAP</w:t>
      </w:r>
      <w:r>
        <w:t xml:space="preserve"> – </w:t>
      </w:r>
      <w:r w:rsidR="00650C46">
        <w:t>John (</w:t>
      </w:r>
      <w:r w:rsidR="003156A0">
        <w:t>see presentation – CAP update 3-24-10)</w:t>
      </w:r>
    </w:p>
    <w:p w:rsidR="00EF63CD" w:rsidRDefault="00EF63CD" w:rsidP="003156A0">
      <w:pPr>
        <w:numPr>
          <w:ilvl w:val="0"/>
          <w:numId w:val="11"/>
        </w:numPr>
        <w:spacing w:after="0"/>
      </w:pPr>
      <w:r>
        <w:t>Today: Official end of Phase 1</w:t>
      </w:r>
    </w:p>
    <w:p w:rsidR="00EF63CD" w:rsidRDefault="00EF63CD" w:rsidP="003156A0">
      <w:pPr>
        <w:numPr>
          <w:ilvl w:val="0"/>
          <w:numId w:val="11"/>
        </w:numPr>
        <w:spacing w:after="0"/>
      </w:pPr>
      <w:r>
        <w:t xml:space="preserve">Review: </w:t>
      </w:r>
    </w:p>
    <w:p w:rsidR="00EF63CD" w:rsidRDefault="00EF63CD" w:rsidP="003156A0">
      <w:pPr>
        <w:numPr>
          <w:ilvl w:val="1"/>
          <w:numId w:val="11"/>
        </w:numPr>
        <w:spacing w:after="0"/>
      </w:pPr>
      <w:r>
        <w:t>Base case development ongoing</w:t>
      </w:r>
    </w:p>
    <w:p w:rsidR="00EF63CD" w:rsidRDefault="00EF63CD" w:rsidP="003156A0">
      <w:pPr>
        <w:numPr>
          <w:ilvl w:val="1"/>
          <w:numId w:val="11"/>
        </w:numPr>
        <w:spacing w:after="0"/>
      </w:pPr>
      <w:r>
        <w:t xml:space="preserve">~ 170 ideas were determined to have a potential GHG impact (from brainstorming </w:t>
      </w:r>
      <w:r w:rsidR="006C365B">
        <w:t xml:space="preserve">sessions </w:t>
      </w:r>
      <w:r>
        <w:t>with CEST groups)</w:t>
      </w:r>
    </w:p>
    <w:p w:rsidR="004C0A46" w:rsidRDefault="00EF63CD" w:rsidP="003156A0">
      <w:pPr>
        <w:numPr>
          <w:ilvl w:val="1"/>
          <w:numId w:val="11"/>
        </w:numPr>
        <w:spacing w:after="0"/>
      </w:pPr>
      <w:r>
        <w:t>Qualitative evaluation completed</w:t>
      </w:r>
    </w:p>
    <w:p w:rsidR="00EF63CD" w:rsidRDefault="00EF63CD" w:rsidP="003156A0">
      <w:pPr>
        <w:numPr>
          <w:ilvl w:val="0"/>
          <w:numId w:val="11"/>
        </w:numPr>
        <w:spacing w:after="0"/>
      </w:pPr>
      <w:r>
        <w:t>Cre</w:t>
      </w:r>
      <w:r w:rsidR="003156A0">
        <w:t xml:space="preserve">ated “NCSU GHG Management” tree/diagram </w:t>
      </w:r>
      <w:r w:rsidR="006C365B">
        <w:t>from</w:t>
      </w:r>
      <w:r>
        <w:t xml:space="preserve"> all </w:t>
      </w:r>
      <w:r w:rsidR="007E2224">
        <w:t>ideas in order to approach the project</w:t>
      </w:r>
    </w:p>
    <w:p w:rsidR="007E2224" w:rsidRDefault="003156A0" w:rsidP="003156A0">
      <w:pPr>
        <w:numPr>
          <w:ilvl w:val="1"/>
          <w:numId w:val="11"/>
        </w:numPr>
        <w:spacing w:after="0"/>
      </w:pPr>
      <w:r>
        <w:t>Clarification: c</w:t>
      </w:r>
      <w:r w:rsidR="007E2224">
        <w:t>omposting is considered to be a carbon sink</w:t>
      </w:r>
    </w:p>
    <w:p w:rsidR="007E2224" w:rsidRDefault="007E2224" w:rsidP="003156A0">
      <w:pPr>
        <w:numPr>
          <w:ilvl w:val="1"/>
          <w:numId w:val="11"/>
        </w:numPr>
        <w:spacing w:after="0"/>
      </w:pPr>
      <w:r>
        <w:t>Feasibility of each topic will be important</w:t>
      </w:r>
      <w:r w:rsidR="006A5334">
        <w:t>; prioritizing; common metric</w:t>
      </w:r>
      <w:r w:rsidR="006C365B">
        <w:t>?</w:t>
      </w:r>
    </w:p>
    <w:p w:rsidR="007E2224" w:rsidRDefault="007E2224" w:rsidP="003156A0">
      <w:pPr>
        <w:numPr>
          <w:ilvl w:val="0"/>
          <w:numId w:val="11"/>
        </w:numPr>
        <w:spacing w:after="0"/>
      </w:pPr>
      <w:r>
        <w:t>Looked at GHG aspects in accordance with the STARS (Sustainability Tracking, Assessment, and Rating System) criteria</w:t>
      </w:r>
    </w:p>
    <w:p w:rsidR="007E2224" w:rsidRDefault="007E2224" w:rsidP="003156A0">
      <w:pPr>
        <w:numPr>
          <w:ilvl w:val="0"/>
          <w:numId w:val="11"/>
        </w:numPr>
        <w:spacing w:after="0"/>
      </w:pPr>
      <w:r>
        <w:t xml:space="preserve">Next Steps: </w:t>
      </w:r>
    </w:p>
    <w:p w:rsidR="0043106B" w:rsidRDefault="007E2224" w:rsidP="003156A0">
      <w:pPr>
        <w:numPr>
          <w:ilvl w:val="1"/>
          <w:numId w:val="11"/>
        </w:numPr>
        <w:spacing w:after="0"/>
      </w:pPr>
      <w:r>
        <w:t>Engage NC State experts to develop assumptions; model CAP alternatives; develop CAP portfolios;</w:t>
      </w:r>
      <w:r w:rsidR="006A5334">
        <w:t xml:space="preserve"> Target June 15 completion</w:t>
      </w:r>
    </w:p>
    <w:p w:rsidR="006C365B" w:rsidRDefault="006C365B" w:rsidP="003156A0">
      <w:pPr>
        <w:spacing w:after="0"/>
      </w:pPr>
      <w:r w:rsidRPr="006C365B">
        <w:rPr>
          <w:b/>
        </w:rPr>
        <w:t xml:space="preserve">Base Case </w:t>
      </w:r>
      <w:r w:rsidR="002B2506">
        <w:rPr>
          <w:b/>
        </w:rPr>
        <w:t xml:space="preserve">Model </w:t>
      </w:r>
      <w:r>
        <w:t xml:space="preserve">– </w:t>
      </w:r>
      <w:r w:rsidR="00650C46">
        <w:t>Rob (</w:t>
      </w:r>
      <w:r w:rsidR="003156A0">
        <w:t>information available on web site, access coming)</w:t>
      </w:r>
    </w:p>
    <w:p w:rsidR="003156A0" w:rsidRDefault="003156A0" w:rsidP="003156A0">
      <w:pPr>
        <w:numPr>
          <w:ilvl w:val="0"/>
          <w:numId w:val="12"/>
        </w:numPr>
        <w:spacing w:after="0"/>
      </w:pPr>
      <w:r>
        <w:t xml:space="preserve">Created web site that will house most up-to-date information, including assumptions. Access will be provided. </w:t>
      </w:r>
    </w:p>
    <w:p w:rsidR="00461936" w:rsidRDefault="00461936" w:rsidP="003156A0">
      <w:pPr>
        <w:numPr>
          <w:ilvl w:val="0"/>
          <w:numId w:val="12"/>
        </w:numPr>
        <w:spacing w:after="0"/>
      </w:pPr>
      <w:r>
        <w:t>Future energy demand, future GHG forecast – Forecast drivers for each GHG source</w:t>
      </w:r>
    </w:p>
    <w:p w:rsidR="00461936" w:rsidRDefault="00461936" w:rsidP="003156A0">
      <w:pPr>
        <w:numPr>
          <w:ilvl w:val="0"/>
          <w:numId w:val="12"/>
        </w:numPr>
        <w:spacing w:after="0"/>
      </w:pPr>
      <w:r>
        <w:t>Campus population growth forecast; campus area forecast</w:t>
      </w:r>
      <w:r w:rsidR="00D33536">
        <w:t>; electricity and energy consumption forecast</w:t>
      </w:r>
    </w:p>
    <w:p w:rsidR="00D33536" w:rsidRDefault="00D33536" w:rsidP="003156A0">
      <w:pPr>
        <w:numPr>
          <w:ilvl w:val="1"/>
          <w:numId w:val="12"/>
        </w:numPr>
        <w:spacing w:after="0"/>
      </w:pPr>
      <w:r>
        <w:t>Square feet per research expenditure?</w:t>
      </w:r>
    </w:p>
    <w:p w:rsidR="00D33536" w:rsidRDefault="00D33536" w:rsidP="003156A0">
      <w:pPr>
        <w:numPr>
          <w:ilvl w:val="1"/>
          <w:numId w:val="12"/>
        </w:numPr>
        <w:spacing w:after="0"/>
      </w:pPr>
      <w:r>
        <w:t>Happy to adjust as necessary</w:t>
      </w:r>
    </w:p>
    <w:p w:rsidR="00D33536" w:rsidRDefault="002B2506" w:rsidP="003156A0">
      <w:pPr>
        <w:numPr>
          <w:ilvl w:val="0"/>
          <w:numId w:val="12"/>
        </w:numPr>
        <w:spacing w:after="0"/>
      </w:pPr>
      <w:r>
        <w:t>Financial Exposure; compliance costs; cap levels; GHG emission allowance price projection</w:t>
      </w:r>
    </w:p>
    <w:p w:rsidR="00CF392A" w:rsidRDefault="00CF392A" w:rsidP="003156A0">
      <w:pPr>
        <w:numPr>
          <w:ilvl w:val="0"/>
          <w:numId w:val="12"/>
        </w:numPr>
        <w:spacing w:after="0"/>
      </w:pPr>
      <w:r>
        <w:t>Abatement curve – Relative contribution towards neutrality &amp; cost (savings) per MTCDE abated</w:t>
      </w:r>
    </w:p>
    <w:p w:rsidR="00CF392A" w:rsidRDefault="00CF392A" w:rsidP="003156A0">
      <w:pPr>
        <w:numPr>
          <w:ilvl w:val="0"/>
          <w:numId w:val="12"/>
        </w:numPr>
        <w:spacing w:after="0"/>
      </w:pPr>
      <w:r>
        <w:t xml:space="preserve">All can be tracked in one place for easy access </w:t>
      </w:r>
      <w:r w:rsidR="00BA4B9D">
        <w:t>– website will be available to the group</w:t>
      </w:r>
    </w:p>
    <w:p w:rsidR="00BA4B9D" w:rsidRDefault="00CE7C00" w:rsidP="003156A0">
      <w:pPr>
        <w:spacing w:after="0"/>
      </w:pPr>
      <w:r>
        <w:rPr>
          <w:b/>
        </w:rPr>
        <w:t>Discussion/Proposed planning timeline modification</w:t>
      </w:r>
      <w:r w:rsidR="00BA4B9D">
        <w:t xml:space="preserve"> – Tracy &amp; Lindsay</w:t>
      </w:r>
    </w:p>
    <w:p w:rsidR="00BA4B9D" w:rsidRDefault="00D34E39" w:rsidP="003156A0">
      <w:pPr>
        <w:numPr>
          <w:ilvl w:val="0"/>
          <w:numId w:val="13"/>
        </w:numPr>
        <w:spacing w:after="0"/>
      </w:pPr>
      <w:r>
        <w:t>Tactic</w:t>
      </w:r>
      <w:r w:rsidR="00002B43">
        <w:t>al</w:t>
      </w:r>
      <w:r>
        <w:t xml:space="preserve"> development</w:t>
      </w:r>
    </w:p>
    <w:p w:rsidR="00D34E39" w:rsidRDefault="00D34E39" w:rsidP="003156A0">
      <w:pPr>
        <w:numPr>
          <w:ilvl w:val="1"/>
          <w:numId w:val="13"/>
        </w:numPr>
        <w:spacing w:after="0"/>
      </w:pPr>
      <w:r>
        <w:t xml:space="preserve">Tactical plan </w:t>
      </w:r>
      <w:r w:rsidR="00582570">
        <w:t xml:space="preserve">will be </w:t>
      </w:r>
      <w:r>
        <w:t>different from consultants’ work</w:t>
      </w:r>
    </w:p>
    <w:p w:rsidR="00650C46" w:rsidRDefault="00650C46" w:rsidP="003156A0">
      <w:pPr>
        <w:numPr>
          <w:ilvl w:val="1"/>
          <w:numId w:val="13"/>
        </w:numPr>
        <w:spacing w:after="0"/>
      </w:pPr>
      <w:r>
        <w:t>Consultants work will provide additional information for strategies with GHG impact (economic impact, GHG impact, etc)</w:t>
      </w:r>
    </w:p>
    <w:p w:rsidR="00D34E39" w:rsidRDefault="00D34E39" w:rsidP="003156A0">
      <w:pPr>
        <w:numPr>
          <w:ilvl w:val="1"/>
          <w:numId w:val="13"/>
        </w:numPr>
        <w:spacing w:after="0"/>
      </w:pPr>
      <w:r>
        <w:lastRenderedPageBreak/>
        <w:t xml:space="preserve">Allow </w:t>
      </w:r>
      <w:r w:rsidR="00582570">
        <w:t>group to start tactical development work</w:t>
      </w:r>
      <w:r>
        <w:t xml:space="preserve">, </w:t>
      </w:r>
      <w:r w:rsidR="00582570">
        <w:t>continue</w:t>
      </w:r>
      <w:r>
        <w:t xml:space="preserve"> into the fall</w:t>
      </w:r>
    </w:p>
    <w:p w:rsidR="00075BE7" w:rsidRDefault="00075BE7" w:rsidP="003156A0">
      <w:pPr>
        <w:numPr>
          <w:ilvl w:val="1"/>
          <w:numId w:val="13"/>
        </w:numPr>
        <w:spacing w:after="0"/>
      </w:pPr>
      <w:r>
        <w:t>Working groups – who, when, how</w:t>
      </w:r>
    </w:p>
    <w:p w:rsidR="000119CF" w:rsidRDefault="000119CF" w:rsidP="003156A0">
      <w:pPr>
        <w:numPr>
          <w:ilvl w:val="1"/>
          <w:numId w:val="13"/>
        </w:numPr>
        <w:spacing w:after="0"/>
      </w:pPr>
      <w:r>
        <w:t>Consultants will not be sitting in with working groups – engaging individuals and small groups of people</w:t>
      </w:r>
    </w:p>
    <w:p w:rsidR="00895A22" w:rsidRDefault="003633B1" w:rsidP="003156A0">
      <w:pPr>
        <w:numPr>
          <w:ilvl w:val="1"/>
          <w:numId w:val="13"/>
        </w:numPr>
        <w:spacing w:after="0"/>
      </w:pPr>
      <w:r>
        <w:t>June 15</w:t>
      </w:r>
      <w:r w:rsidRPr="003633B1">
        <w:rPr>
          <w:vertAlign w:val="superscript"/>
        </w:rPr>
        <w:t>th</w:t>
      </w:r>
      <w:r>
        <w:t xml:space="preserve"> – </w:t>
      </w:r>
      <w:r w:rsidR="003156A0">
        <w:t xml:space="preserve">targeted completion </w:t>
      </w:r>
      <w:r>
        <w:t>date for all of project (Phases 1 &amp; 2)</w:t>
      </w:r>
    </w:p>
    <w:p w:rsidR="00895A22" w:rsidRDefault="00895A22" w:rsidP="003156A0">
      <w:pPr>
        <w:numPr>
          <w:ilvl w:val="1"/>
          <w:numId w:val="13"/>
        </w:numPr>
        <w:spacing w:after="0"/>
      </w:pPr>
      <w:r>
        <w:t xml:space="preserve">Next steps for </w:t>
      </w:r>
      <w:r w:rsidR="003E1671">
        <w:t>WG</w:t>
      </w:r>
      <w:r>
        <w:t xml:space="preserve"> up to chairs</w:t>
      </w:r>
    </w:p>
    <w:p w:rsidR="003156A0" w:rsidRDefault="003E1671" w:rsidP="003156A0">
      <w:pPr>
        <w:numPr>
          <w:ilvl w:val="1"/>
          <w:numId w:val="13"/>
        </w:numPr>
        <w:spacing w:after="0"/>
      </w:pPr>
      <w:r>
        <w:t xml:space="preserve">Energy &amp; Water </w:t>
      </w:r>
      <w:r w:rsidR="003156A0">
        <w:t xml:space="preserve">and Transportation </w:t>
      </w:r>
      <w:r>
        <w:t>WG finds the delay as not productive</w:t>
      </w:r>
    </w:p>
    <w:p w:rsidR="00AB0446" w:rsidRDefault="00AB0446" w:rsidP="003156A0">
      <w:pPr>
        <w:spacing w:after="0"/>
        <w:ind w:left="720"/>
      </w:pPr>
      <w:r>
        <w:t>Questions Raised:</w:t>
      </w:r>
    </w:p>
    <w:p w:rsidR="00AB0446" w:rsidRDefault="00AB0446" w:rsidP="003156A0">
      <w:pPr>
        <w:numPr>
          <w:ilvl w:val="1"/>
          <w:numId w:val="13"/>
        </w:numPr>
        <w:spacing w:after="0"/>
      </w:pPr>
      <w:r>
        <w:t>Can some low hanging fruit-type tactics begin to be worked on?</w:t>
      </w:r>
    </w:p>
    <w:p w:rsidR="00AB0446" w:rsidRDefault="00AB0446" w:rsidP="003156A0">
      <w:pPr>
        <w:numPr>
          <w:ilvl w:val="1"/>
          <w:numId w:val="13"/>
        </w:numPr>
        <w:spacing w:after="0"/>
      </w:pPr>
      <w:r>
        <w:t>What information will we have from the consultants in the fall that would fluctuate the tactics proposed by the WGs?</w:t>
      </w:r>
    </w:p>
    <w:p w:rsidR="003633B1" w:rsidRDefault="00AB0446" w:rsidP="003156A0">
      <w:pPr>
        <w:numPr>
          <w:ilvl w:val="1"/>
          <w:numId w:val="13"/>
        </w:numPr>
        <w:spacing w:after="0"/>
      </w:pPr>
      <w:r>
        <w:t xml:space="preserve"> Can we approach it as a triage process</w:t>
      </w:r>
      <w:r w:rsidR="00645944">
        <w:t xml:space="preserve"> (look at strategies that are known to be feasible and have a high impact)</w:t>
      </w:r>
      <w:r>
        <w:t>?</w:t>
      </w:r>
    </w:p>
    <w:p w:rsidR="00AB0446" w:rsidRDefault="00AB0446" w:rsidP="003156A0">
      <w:pPr>
        <w:numPr>
          <w:ilvl w:val="1"/>
          <w:numId w:val="13"/>
        </w:numPr>
        <w:spacing w:after="0"/>
      </w:pPr>
      <w:r>
        <w:t>Could you distribute the comprehensive list of ideas?</w:t>
      </w:r>
    </w:p>
    <w:p w:rsidR="003156A0" w:rsidRDefault="003156A0" w:rsidP="003156A0">
      <w:pPr>
        <w:numPr>
          <w:ilvl w:val="0"/>
          <w:numId w:val="13"/>
        </w:numPr>
        <w:spacing w:after="0"/>
      </w:pPr>
      <w:r>
        <w:t>Student-targeted ideas</w:t>
      </w:r>
    </w:p>
    <w:p w:rsidR="003156A0" w:rsidRDefault="003156A0" w:rsidP="003156A0">
      <w:pPr>
        <w:numPr>
          <w:ilvl w:val="1"/>
          <w:numId w:val="13"/>
        </w:numPr>
        <w:spacing w:after="0"/>
      </w:pPr>
      <w:r>
        <w:t>Feel like largest constituency, students, has been underrepresented in working group process and want to here directly from students</w:t>
      </w:r>
    </w:p>
    <w:p w:rsidR="003156A0" w:rsidRDefault="003156A0" w:rsidP="003156A0">
      <w:pPr>
        <w:numPr>
          <w:ilvl w:val="1"/>
          <w:numId w:val="13"/>
        </w:numPr>
        <w:spacing w:after="0"/>
      </w:pPr>
      <w:r>
        <w:t>Need to have focus and questions on the forums to give direction to avoid the common answers</w:t>
      </w:r>
    </w:p>
    <w:p w:rsidR="003156A0" w:rsidRDefault="003156A0" w:rsidP="003156A0">
      <w:pPr>
        <w:numPr>
          <w:ilvl w:val="1"/>
          <w:numId w:val="13"/>
        </w:numPr>
        <w:spacing w:after="0"/>
      </w:pPr>
      <w:r>
        <w:t>Could be focus of Earth Day</w:t>
      </w:r>
    </w:p>
    <w:p w:rsidR="003156A0" w:rsidRDefault="003156A0" w:rsidP="003156A0">
      <w:pPr>
        <w:numPr>
          <w:ilvl w:val="1"/>
          <w:numId w:val="13"/>
        </w:numPr>
        <w:spacing w:after="0"/>
      </w:pPr>
      <w:r>
        <w:t>Focus on classes that concentrate on environmental issues (Earth Science)</w:t>
      </w:r>
    </w:p>
    <w:p w:rsidR="003156A0" w:rsidRDefault="003156A0" w:rsidP="003156A0">
      <w:pPr>
        <w:numPr>
          <w:ilvl w:val="1"/>
          <w:numId w:val="13"/>
        </w:numPr>
        <w:spacing w:after="0"/>
      </w:pPr>
      <w:r>
        <w:t>Brickyard boothing and outreach by students</w:t>
      </w:r>
    </w:p>
    <w:p w:rsidR="00240FC8" w:rsidRDefault="003156A0" w:rsidP="003156A0">
      <w:pPr>
        <w:numPr>
          <w:ilvl w:val="0"/>
          <w:numId w:val="13"/>
        </w:numPr>
        <w:spacing w:after="0"/>
      </w:pPr>
      <w:r>
        <w:t xml:space="preserve">Action: </w:t>
      </w:r>
    </w:p>
    <w:p w:rsidR="00650C46" w:rsidRDefault="00650C46" w:rsidP="003156A0">
      <w:pPr>
        <w:numPr>
          <w:ilvl w:val="1"/>
          <w:numId w:val="13"/>
        </w:numPr>
        <w:spacing w:after="0"/>
      </w:pPr>
      <w:r>
        <w:t>Working groups begin working on tactics</w:t>
      </w:r>
      <w:r w:rsidR="00645944">
        <w:t xml:space="preserve"> (consider triage/priority method mentioned above)</w:t>
      </w:r>
    </w:p>
    <w:p w:rsidR="00AB0446" w:rsidRDefault="00AB0446" w:rsidP="003156A0">
      <w:pPr>
        <w:numPr>
          <w:ilvl w:val="1"/>
          <w:numId w:val="13"/>
        </w:numPr>
        <w:spacing w:after="0"/>
      </w:pPr>
      <w:r>
        <w:t xml:space="preserve">Tracy will disseminate the </w:t>
      </w:r>
      <w:r w:rsidR="003156A0">
        <w:t>comprehensive ideas list and templates</w:t>
      </w:r>
    </w:p>
    <w:p w:rsidR="00645944" w:rsidRDefault="00645944" w:rsidP="003156A0">
      <w:pPr>
        <w:numPr>
          <w:ilvl w:val="1"/>
          <w:numId w:val="13"/>
        </w:numPr>
        <w:spacing w:after="0"/>
      </w:pPr>
      <w:r>
        <w:t>Sustainability Office will attend working groups</w:t>
      </w:r>
    </w:p>
    <w:p w:rsidR="00240FC8" w:rsidRDefault="00645944" w:rsidP="003156A0">
      <w:pPr>
        <w:numPr>
          <w:ilvl w:val="1"/>
          <w:numId w:val="13"/>
        </w:numPr>
        <w:spacing w:after="0"/>
      </w:pPr>
      <w:r>
        <w:t>Sustainability Office will work on</w:t>
      </w:r>
      <w:r w:rsidR="003156A0">
        <w:t xml:space="preserve"> additional st</w:t>
      </w:r>
      <w:r>
        <w:t>udent-targeted idea generation</w:t>
      </w:r>
    </w:p>
    <w:p w:rsidR="00AB0446" w:rsidRPr="004649F3" w:rsidRDefault="00AB0446" w:rsidP="003156A0">
      <w:pPr>
        <w:spacing w:after="0"/>
        <w:ind w:left="1080"/>
      </w:pPr>
    </w:p>
    <w:sectPr w:rsidR="00AB0446" w:rsidRPr="004649F3" w:rsidSect="0088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47D"/>
    <w:multiLevelType w:val="hybridMultilevel"/>
    <w:tmpl w:val="309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F93"/>
    <w:multiLevelType w:val="hybridMultilevel"/>
    <w:tmpl w:val="1B22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7B92"/>
    <w:multiLevelType w:val="hybridMultilevel"/>
    <w:tmpl w:val="C71A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70BA"/>
    <w:multiLevelType w:val="hybridMultilevel"/>
    <w:tmpl w:val="A7F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639B2"/>
    <w:multiLevelType w:val="hybridMultilevel"/>
    <w:tmpl w:val="28D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005"/>
    <w:multiLevelType w:val="hybridMultilevel"/>
    <w:tmpl w:val="BB7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B276A"/>
    <w:multiLevelType w:val="hybridMultilevel"/>
    <w:tmpl w:val="9F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271F8"/>
    <w:multiLevelType w:val="hybridMultilevel"/>
    <w:tmpl w:val="220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C0D01"/>
    <w:multiLevelType w:val="hybridMultilevel"/>
    <w:tmpl w:val="6CD6A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5A651C"/>
    <w:multiLevelType w:val="hybridMultilevel"/>
    <w:tmpl w:val="7B6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A425F"/>
    <w:multiLevelType w:val="hybridMultilevel"/>
    <w:tmpl w:val="F3B4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97BCE"/>
    <w:multiLevelType w:val="hybridMultilevel"/>
    <w:tmpl w:val="B27E0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DE3A48"/>
    <w:multiLevelType w:val="hybridMultilevel"/>
    <w:tmpl w:val="56FA1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589"/>
    <w:rsid w:val="00002B43"/>
    <w:rsid w:val="00006707"/>
    <w:rsid w:val="000119CF"/>
    <w:rsid w:val="00012DA7"/>
    <w:rsid w:val="00040241"/>
    <w:rsid w:val="00042441"/>
    <w:rsid w:val="0005315E"/>
    <w:rsid w:val="00075BE7"/>
    <w:rsid w:val="000B77C6"/>
    <w:rsid w:val="000C783D"/>
    <w:rsid w:val="000E4161"/>
    <w:rsid w:val="00196782"/>
    <w:rsid w:val="001A2821"/>
    <w:rsid w:val="001E3950"/>
    <w:rsid w:val="00240FC8"/>
    <w:rsid w:val="00272F94"/>
    <w:rsid w:val="002B2506"/>
    <w:rsid w:val="002E7B11"/>
    <w:rsid w:val="003156A0"/>
    <w:rsid w:val="003579E0"/>
    <w:rsid w:val="003633B1"/>
    <w:rsid w:val="003E1671"/>
    <w:rsid w:val="003E7589"/>
    <w:rsid w:val="0043106B"/>
    <w:rsid w:val="00461936"/>
    <w:rsid w:val="004649F3"/>
    <w:rsid w:val="004C0A46"/>
    <w:rsid w:val="004F4566"/>
    <w:rsid w:val="00582570"/>
    <w:rsid w:val="005C3341"/>
    <w:rsid w:val="005E158A"/>
    <w:rsid w:val="00645944"/>
    <w:rsid w:val="00650C46"/>
    <w:rsid w:val="00652CEB"/>
    <w:rsid w:val="006713F8"/>
    <w:rsid w:val="006A5334"/>
    <w:rsid w:val="006C365B"/>
    <w:rsid w:val="0071349B"/>
    <w:rsid w:val="00737746"/>
    <w:rsid w:val="00756955"/>
    <w:rsid w:val="007E2224"/>
    <w:rsid w:val="008246D0"/>
    <w:rsid w:val="00885CF3"/>
    <w:rsid w:val="00895A22"/>
    <w:rsid w:val="009079F0"/>
    <w:rsid w:val="00AB0446"/>
    <w:rsid w:val="00BA4B9D"/>
    <w:rsid w:val="00C22F7E"/>
    <w:rsid w:val="00CE7C00"/>
    <w:rsid w:val="00CF392A"/>
    <w:rsid w:val="00D13AD8"/>
    <w:rsid w:val="00D33536"/>
    <w:rsid w:val="00D34E39"/>
    <w:rsid w:val="00D73718"/>
    <w:rsid w:val="00E872B3"/>
    <w:rsid w:val="00EB7681"/>
    <w:rsid w:val="00EF63CD"/>
    <w:rsid w:val="00F07A20"/>
    <w:rsid w:val="00F837EC"/>
    <w:rsid w:val="00F9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2010-03-29T20:10:00Z</dcterms:created>
  <dcterms:modified xsi:type="dcterms:W3CDTF">2010-03-29T20:10:00Z</dcterms:modified>
</cp:coreProperties>
</file>