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7" w:rsidRDefault="00C959E7"/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3656"/>
        <w:gridCol w:w="2374"/>
        <w:gridCol w:w="1503"/>
        <w:gridCol w:w="18"/>
      </w:tblGrid>
      <w:tr w:rsidR="00E43BAB" w:rsidRPr="00692553" w:rsidTr="00C959E7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DE0EA4" w:rsidRDefault="00EC3674" w:rsidP="00DE0EA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 Buildings Work Group</w:t>
            </w:r>
            <w:r w:rsidR="00F22670">
              <w:rPr>
                <w:sz w:val="28"/>
                <w:szCs w:val="28"/>
              </w:rPr>
              <w:t xml:space="preserve"> </w:t>
            </w:r>
            <w:r w:rsidR="004A5051" w:rsidRPr="00D553BF">
              <w:rPr>
                <w:sz w:val="28"/>
                <w:szCs w:val="28"/>
              </w:rPr>
              <w:t>M</w:t>
            </w:r>
            <w:r w:rsidR="00F22670">
              <w:rPr>
                <w:sz w:val="28"/>
                <w:szCs w:val="28"/>
              </w:rPr>
              <w:t xml:space="preserve">eeting </w:t>
            </w:r>
            <w:r>
              <w:rPr>
                <w:sz w:val="28"/>
                <w:szCs w:val="28"/>
              </w:rPr>
              <w:t>Minutes</w:t>
            </w:r>
          </w:p>
          <w:p w:rsidR="00D14D51" w:rsidRPr="00DE0EA4" w:rsidRDefault="00AB52F3" w:rsidP="00EC3674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  <w:r w:rsidR="00EC3674">
              <w:rPr>
                <w:sz w:val="20"/>
                <w:szCs w:val="20"/>
              </w:rPr>
              <w:t>2</w:t>
            </w:r>
            <w:r w:rsidR="00D14D51" w:rsidRPr="00DE0EA4">
              <w:rPr>
                <w:sz w:val="20"/>
                <w:szCs w:val="20"/>
              </w:rPr>
              <w:t>, 2009</w:t>
            </w:r>
          </w:p>
        </w:tc>
      </w:tr>
      <w:tr w:rsidR="00E43BAB" w:rsidRPr="00692553" w:rsidTr="00C959E7">
        <w:trPr>
          <w:gridAfter w:val="1"/>
          <w:wAfter w:w="18" w:type="dxa"/>
          <w:trHeight w:val="409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C959E7">
        <w:trPr>
          <w:gridAfter w:val="1"/>
          <w:wAfter w:w="18" w:type="dxa"/>
          <w:trHeight w:val="498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F22670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D14D51" w:rsidP="00C7623D">
            <w:r>
              <w:t xml:space="preserve">Carole </w:t>
            </w:r>
            <w:proofErr w:type="spellStart"/>
            <w:r>
              <w:t>Acquesta</w:t>
            </w:r>
            <w:proofErr w:type="spellEnd"/>
            <w:r>
              <w:t xml:space="preserve">, </w:t>
            </w:r>
            <w:r w:rsidR="00EC3674">
              <w:t xml:space="preserve">Kevin Cummings, John Royal, Barry Olson, Ken </w:t>
            </w:r>
            <w:proofErr w:type="spellStart"/>
            <w:r w:rsidR="00EC3674">
              <w:t>Satterwhite</w:t>
            </w:r>
            <w:proofErr w:type="spellEnd"/>
            <w:r w:rsidR="00EC3674">
              <w:t>, Tom Mo</w:t>
            </w:r>
            <w:r w:rsidR="00C7623D">
              <w:t>o</w:t>
            </w:r>
            <w:r w:rsidR="00EC3674">
              <w:t xml:space="preserve">re, Tracy Dixon, Dona </w:t>
            </w:r>
            <w:proofErr w:type="spellStart"/>
            <w:r w:rsidR="00EC3674">
              <w:t>Stankus</w:t>
            </w:r>
            <w:proofErr w:type="spellEnd"/>
          </w:p>
        </w:tc>
      </w:tr>
      <w:tr w:rsidR="0085168B" w:rsidRPr="00692553" w:rsidTr="00C959E7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2B08" w:rsidRPr="00692553" w:rsidRDefault="00992B08" w:rsidP="005052C5"/>
        </w:tc>
      </w:tr>
      <w:tr w:rsidR="00692553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D14D51" w:rsidRPr="003262AF" w:rsidRDefault="00692553" w:rsidP="003262AF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E71DBA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>Discussion</w:t>
            </w:r>
          </w:p>
        </w:tc>
        <w:tc>
          <w:tcPr>
            <w:tcW w:w="8088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FF04C7" w:rsidRDefault="00EC3674" w:rsidP="00C90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Introductions (</w:t>
            </w:r>
            <w:proofErr w:type="spellStart"/>
            <w:r>
              <w:rPr>
                <w:b/>
                <w:sz w:val="20"/>
                <w:szCs w:val="20"/>
              </w:rPr>
              <w:t>Acquesta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5168B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B52F3" w:rsidRPr="00FF04C7" w:rsidRDefault="00EC3674" w:rsidP="009A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were made and the sign in sheet was completed.  See attached sign in sheet.</w:t>
            </w:r>
          </w:p>
        </w:tc>
      </w:tr>
      <w:tr w:rsidR="00AB52F3" w:rsidRPr="00692553" w:rsidTr="00AB52F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B52F3" w:rsidRPr="00692553" w:rsidRDefault="00AB52F3" w:rsidP="00AB52F3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B52F3" w:rsidRPr="00FF04C7" w:rsidRDefault="00EC3674" w:rsidP="00AB5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Purpose (</w:t>
            </w:r>
            <w:proofErr w:type="spellStart"/>
            <w:r>
              <w:rPr>
                <w:b/>
                <w:sz w:val="20"/>
                <w:szCs w:val="20"/>
              </w:rPr>
              <w:t>Acquesta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AB52F3" w:rsidRPr="009C5462" w:rsidTr="00AB52F3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6DF" w:rsidRPr="009C5462" w:rsidRDefault="00EC3674" w:rsidP="00EC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 has requested each working groups create a vision statement and strategies for accomplishing the vision.</w:t>
            </w:r>
          </w:p>
        </w:tc>
      </w:tr>
      <w:tr w:rsidR="00E4591C" w:rsidRPr="00692553" w:rsidTr="00C959E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bookmarkStart w:id="4" w:name="MinuteConclusion"/>
            <w:bookmarkStart w:id="5" w:name="MinuteAdditional"/>
            <w:bookmarkEnd w:id="3"/>
            <w:bookmarkEnd w:id="4"/>
            <w:bookmarkEnd w:id="5"/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FF04C7" w:rsidRDefault="00EC3674" w:rsidP="00326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CEST History &amp; Organization (Dixon)</w:t>
            </w:r>
          </w:p>
        </w:tc>
      </w:tr>
      <w:tr w:rsidR="00987202" w:rsidRPr="009C5462" w:rsidTr="00C959E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466DF" w:rsidRDefault="00E139D6" w:rsidP="00E1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reviewed the history of sustainability to NC State and the CEST committee.  Handouts were distributed illustrating some of this history and the emphasis that NC State has placed on a sustainable environment.</w:t>
            </w:r>
          </w:p>
          <w:p w:rsidR="00E139D6" w:rsidRDefault="00E139D6" w:rsidP="00E139D6">
            <w:pPr>
              <w:rPr>
                <w:sz w:val="20"/>
                <w:szCs w:val="20"/>
              </w:rPr>
            </w:pPr>
          </w:p>
          <w:p w:rsidR="00E139D6" w:rsidRDefault="00E139D6" w:rsidP="00E1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reviewed the organizational structure of the CEST group and how initiatives will be approved.</w:t>
            </w:r>
          </w:p>
          <w:p w:rsidR="00E139D6" w:rsidRDefault="00E139D6" w:rsidP="00E139D6">
            <w:pPr>
              <w:rPr>
                <w:sz w:val="20"/>
                <w:szCs w:val="20"/>
              </w:rPr>
            </w:pPr>
          </w:p>
          <w:p w:rsidR="00E139D6" w:rsidRDefault="00E139D6" w:rsidP="00E1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reviewed the commitment that UNC General Administration has made to sustainable universities by the adoption of their system wide policy.</w:t>
            </w:r>
          </w:p>
          <w:p w:rsidR="00E139D6" w:rsidRDefault="00E139D6" w:rsidP="00E139D6">
            <w:pPr>
              <w:rPr>
                <w:sz w:val="20"/>
                <w:szCs w:val="20"/>
              </w:rPr>
            </w:pPr>
          </w:p>
          <w:p w:rsidR="00E139D6" w:rsidRPr="009C5462" w:rsidRDefault="00E139D6" w:rsidP="00E1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Carole noted that each project is encouraging the project Building Committees to establish a sustainability commitment.  Hunt Library has one executed and design decisions are being made to compliment the vision.</w:t>
            </w:r>
          </w:p>
        </w:tc>
      </w:tr>
      <w:tr w:rsidR="00DD4E95" w:rsidRPr="00692553" w:rsidTr="00DD4E95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D4E95" w:rsidRPr="00692553" w:rsidRDefault="00DD4E95" w:rsidP="00DD4E95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4E95" w:rsidRPr="00FF04C7" w:rsidRDefault="00EC3674" w:rsidP="00DD4E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Commitments &amp; Mandates (</w:t>
            </w:r>
            <w:proofErr w:type="spellStart"/>
            <w:r>
              <w:rPr>
                <w:b/>
                <w:sz w:val="20"/>
                <w:szCs w:val="20"/>
              </w:rPr>
              <w:t>Acquesta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D4E95" w:rsidRPr="009C5462" w:rsidTr="00DD4E95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4E95" w:rsidRDefault="00E139D6" w:rsidP="00D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were identified as current commitments:  SB 668 (Energy Efficiency in Buildings Law), LEED Silver (NC State commitment), American Colleges &amp; Universities Climate Commitment (NC State commitment), UNC-GA Sustainability policy, NC State Design &amp; Construction Guidelines, </w:t>
            </w:r>
            <w:r w:rsidR="00F81578">
              <w:rPr>
                <w:sz w:val="20"/>
                <w:szCs w:val="20"/>
              </w:rPr>
              <w:t>FCAP, Repair &amp; Renovations</w:t>
            </w:r>
          </w:p>
          <w:p w:rsidR="00F81578" w:rsidRDefault="00F81578" w:rsidP="00DD4E95">
            <w:pPr>
              <w:rPr>
                <w:sz w:val="20"/>
                <w:szCs w:val="20"/>
              </w:rPr>
            </w:pPr>
          </w:p>
          <w:p w:rsidR="00F81578" w:rsidRPr="009C5462" w:rsidRDefault="00F81578" w:rsidP="00DD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brought up potential barriers to accomplishing the goals:  model SCO uses for Life Cycle Cost Analysis and Energy Modeling is inconsistent with utilizing some more energy efficient methods (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LED lighting), bringing existing buildings up to current Code, </w:t>
            </w:r>
            <w:r w:rsidR="00460911">
              <w:rPr>
                <w:sz w:val="20"/>
                <w:szCs w:val="20"/>
              </w:rPr>
              <w:t xml:space="preserve">requirements for </w:t>
            </w:r>
            <w:r>
              <w:rPr>
                <w:sz w:val="20"/>
                <w:szCs w:val="20"/>
              </w:rPr>
              <w:t>Historic properties</w:t>
            </w:r>
            <w:r w:rsidR="00460911">
              <w:rPr>
                <w:sz w:val="20"/>
                <w:szCs w:val="20"/>
              </w:rPr>
              <w:t xml:space="preserve"> and USGBC campus standard needed.  Dona indicated that a campus standard exists and she agreed to provide the links to this information.</w:t>
            </w:r>
          </w:p>
        </w:tc>
      </w:tr>
      <w:tr w:rsidR="003262AF" w:rsidRPr="00692553" w:rsidTr="003262AF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262AF" w:rsidRPr="00692553" w:rsidRDefault="003262AF" w:rsidP="003262AF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62AF" w:rsidRPr="00FF04C7" w:rsidRDefault="00E139D6" w:rsidP="00326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</w:t>
            </w:r>
            <w:r w:rsidR="00EC3674">
              <w:rPr>
                <w:b/>
                <w:sz w:val="20"/>
                <w:szCs w:val="20"/>
              </w:rPr>
              <w:t>CEST Charge</w:t>
            </w:r>
          </w:p>
        </w:tc>
      </w:tr>
      <w:tr w:rsidR="003262AF" w:rsidRPr="009C5462" w:rsidTr="003262AF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4E95" w:rsidRDefault="00EC3674" w:rsidP="00326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I – Produce 5 year Sustainability Strategic Plan by Jan 2010</w:t>
            </w:r>
          </w:p>
          <w:p w:rsidR="00EC3674" w:rsidRDefault="00EC3674" w:rsidP="00326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II – Participate in the creation of NC State’s Climate Action Plan</w:t>
            </w:r>
            <w:r w:rsidR="00E139D6">
              <w:rPr>
                <w:sz w:val="20"/>
                <w:szCs w:val="20"/>
              </w:rPr>
              <w:t xml:space="preserve"> – Spring 2010</w:t>
            </w:r>
          </w:p>
          <w:p w:rsidR="00E139D6" w:rsidRPr="009C5462" w:rsidRDefault="00E139D6" w:rsidP="009C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Phase III – Sustainability Tactical Plan and revisit </w:t>
            </w:r>
            <w:r w:rsidR="00F81578">
              <w:rPr>
                <w:sz w:val="20"/>
                <w:szCs w:val="20"/>
              </w:rPr>
              <w:t>Sustainability</w:t>
            </w:r>
            <w:r w:rsidR="009C7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Strategic Plan</w:t>
            </w:r>
          </w:p>
        </w:tc>
      </w:tr>
      <w:tr w:rsidR="00EC3674" w:rsidRPr="00692553" w:rsidTr="00C959E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C3674" w:rsidRPr="00692553" w:rsidRDefault="00EC3674" w:rsidP="00EC3674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C3674" w:rsidRPr="00FF04C7" w:rsidRDefault="00EC3674" w:rsidP="00EC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</w:t>
            </w:r>
            <w:r w:rsidR="00E139D6">
              <w:rPr>
                <w:b/>
                <w:sz w:val="20"/>
                <w:szCs w:val="20"/>
              </w:rPr>
              <w:t xml:space="preserve"> for Building Working Group</w:t>
            </w:r>
          </w:p>
        </w:tc>
      </w:tr>
      <w:tr w:rsidR="00987202" w:rsidRPr="009C5462" w:rsidTr="00C959E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7ED0" w:rsidRDefault="00E139D6" w:rsidP="00326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12 – organize and understand mission of workgroup</w:t>
            </w:r>
          </w:p>
          <w:p w:rsidR="00E139D6" w:rsidRDefault="00E139D6" w:rsidP="00326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 – brainstorm vision</w:t>
            </w:r>
          </w:p>
          <w:p w:rsidR="00E139D6" w:rsidRDefault="00E139D6" w:rsidP="00326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 – finalize vision and create draft strategies</w:t>
            </w:r>
          </w:p>
          <w:p w:rsidR="00E139D6" w:rsidRDefault="00E139D6" w:rsidP="00326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9 – submit draft vision and strategies to CEST</w:t>
            </w:r>
          </w:p>
          <w:p w:rsidR="00460911" w:rsidRPr="009C5462" w:rsidRDefault="00460911" w:rsidP="003262AF">
            <w:pPr>
              <w:rPr>
                <w:sz w:val="20"/>
                <w:szCs w:val="20"/>
              </w:rPr>
            </w:pPr>
          </w:p>
        </w:tc>
      </w:tr>
      <w:tr w:rsidR="00987202" w:rsidRPr="00692553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lastRenderedPageBreak/>
              <w:t>Action items</w:t>
            </w:r>
          </w:p>
        </w:tc>
        <w:tc>
          <w:tcPr>
            <w:tcW w:w="2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52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987202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A4382" w:rsidRDefault="00E139D6" w:rsidP="0060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vision that the University should have for its buildings</w:t>
            </w: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A4382" w:rsidRDefault="00E139D6" w:rsidP="0060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</w:t>
            </w: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A4382" w:rsidRDefault="00E139D6" w:rsidP="0060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 meeting</w:t>
            </w:r>
          </w:p>
        </w:tc>
      </w:tr>
      <w:tr w:rsidR="00987202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A4382" w:rsidRDefault="00460911" w:rsidP="00C2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links to USGBC campus standard</w:t>
            </w: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4382" w:rsidRPr="00CA4382" w:rsidRDefault="00460911" w:rsidP="0060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</w:t>
            </w: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A4382" w:rsidRDefault="00987202" w:rsidP="00601954">
            <w:pPr>
              <w:jc w:val="center"/>
              <w:rPr>
                <w:sz w:val="20"/>
                <w:szCs w:val="20"/>
              </w:rPr>
            </w:pPr>
          </w:p>
        </w:tc>
      </w:tr>
      <w:tr w:rsidR="00CA4382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4382" w:rsidRPr="00CA4382" w:rsidRDefault="00CA4382" w:rsidP="00687ED0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4382" w:rsidRPr="00CA4382" w:rsidRDefault="00CA4382" w:rsidP="006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4382" w:rsidRPr="00CA4382" w:rsidRDefault="00CA4382" w:rsidP="00601954">
            <w:pPr>
              <w:jc w:val="center"/>
              <w:rPr>
                <w:sz w:val="20"/>
                <w:szCs w:val="20"/>
              </w:rPr>
            </w:pPr>
          </w:p>
        </w:tc>
      </w:tr>
      <w:tr w:rsidR="009C5462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5462" w:rsidRPr="00CA4382" w:rsidRDefault="009C5462" w:rsidP="00C235B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5462" w:rsidRPr="00CA4382" w:rsidRDefault="009C5462" w:rsidP="006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5462" w:rsidRPr="00CA4382" w:rsidRDefault="009C5462" w:rsidP="00601954">
            <w:pPr>
              <w:jc w:val="center"/>
              <w:rPr>
                <w:sz w:val="20"/>
                <w:szCs w:val="20"/>
              </w:rPr>
            </w:pPr>
          </w:p>
        </w:tc>
      </w:tr>
      <w:tr w:rsidR="002725AC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725AC" w:rsidRDefault="002725AC" w:rsidP="000653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725AC" w:rsidRDefault="002725AC" w:rsidP="006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725AC" w:rsidRDefault="002725AC" w:rsidP="00601954">
            <w:pPr>
              <w:jc w:val="center"/>
              <w:rPr>
                <w:sz w:val="20"/>
                <w:szCs w:val="20"/>
              </w:rPr>
            </w:pPr>
          </w:p>
        </w:tc>
      </w:tr>
      <w:tr w:rsidR="008840A6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0A6" w:rsidRDefault="008840A6" w:rsidP="008840A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0A6" w:rsidRDefault="008840A6" w:rsidP="006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0A6" w:rsidRDefault="008840A6" w:rsidP="00601954">
            <w:pPr>
              <w:jc w:val="center"/>
              <w:rPr>
                <w:sz w:val="20"/>
                <w:szCs w:val="20"/>
              </w:rPr>
            </w:pPr>
          </w:p>
        </w:tc>
      </w:tr>
      <w:tr w:rsidR="008840A6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0A6" w:rsidRPr="008840A6" w:rsidRDefault="008840A6" w:rsidP="008840A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0A6" w:rsidRDefault="008840A6" w:rsidP="006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0A6" w:rsidRDefault="008840A6" w:rsidP="00601954">
            <w:pPr>
              <w:jc w:val="center"/>
              <w:rPr>
                <w:sz w:val="20"/>
                <w:szCs w:val="20"/>
              </w:rPr>
            </w:pPr>
          </w:p>
        </w:tc>
      </w:tr>
      <w:tr w:rsidR="00687ED0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7ED0" w:rsidRDefault="00687ED0" w:rsidP="008840A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7ED0" w:rsidRDefault="00687ED0" w:rsidP="006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7ED0" w:rsidRDefault="00687ED0" w:rsidP="006019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25AC" w:rsidRDefault="002725AC"/>
    <w:p w:rsidR="002725AC" w:rsidRDefault="002725AC"/>
    <w:p w:rsidR="00EC3674" w:rsidRDefault="002725AC" w:rsidP="004B0B40">
      <w:pPr>
        <w:rPr>
          <w:b/>
          <w:sz w:val="20"/>
          <w:szCs w:val="20"/>
        </w:rPr>
      </w:pPr>
      <w:r w:rsidRPr="002725AC">
        <w:rPr>
          <w:b/>
          <w:sz w:val="20"/>
          <w:szCs w:val="20"/>
        </w:rPr>
        <w:t>Next meeting</w:t>
      </w:r>
      <w:r w:rsidR="00EC3674">
        <w:rPr>
          <w:b/>
          <w:sz w:val="20"/>
          <w:szCs w:val="20"/>
        </w:rPr>
        <w:t>s:</w:t>
      </w:r>
    </w:p>
    <w:p w:rsidR="0085168B" w:rsidRPr="00460911" w:rsidRDefault="000653CE" w:rsidP="004B0B40">
      <w:pPr>
        <w:rPr>
          <w:sz w:val="20"/>
          <w:szCs w:val="20"/>
        </w:rPr>
      </w:pPr>
      <w:r w:rsidRPr="00460911">
        <w:rPr>
          <w:sz w:val="20"/>
          <w:szCs w:val="20"/>
        </w:rPr>
        <w:t xml:space="preserve">November </w:t>
      </w:r>
      <w:r w:rsidR="00EC3674" w:rsidRPr="00460911">
        <w:rPr>
          <w:sz w:val="20"/>
          <w:szCs w:val="20"/>
        </w:rPr>
        <w:t>2</w:t>
      </w:r>
      <w:r w:rsidR="002725AC" w:rsidRPr="00460911">
        <w:rPr>
          <w:sz w:val="20"/>
          <w:szCs w:val="20"/>
        </w:rPr>
        <w:t xml:space="preserve">, 2009 at </w:t>
      </w:r>
      <w:r w:rsidR="00EC3674" w:rsidRPr="00460911">
        <w:rPr>
          <w:sz w:val="20"/>
          <w:szCs w:val="20"/>
        </w:rPr>
        <w:t>2:30 in Admin III, room 301</w:t>
      </w:r>
    </w:p>
    <w:p w:rsidR="00EC3674" w:rsidRPr="00460911" w:rsidRDefault="00EC3674" w:rsidP="00EC3674">
      <w:pPr>
        <w:rPr>
          <w:sz w:val="20"/>
          <w:szCs w:val="20"/>
        </w:rPr>
      </w:pPr>
      <w:r w:rsidRPr="00460911">
        <w:rPr>
          <w:sz w:val="20"/>
          <w:szCs w:val="20"/>
        </w:rPr>
        <w:t>November 30, 2009 at 2:00 in Admin III, room 301</w:t>
      </w:r>
    </w:p>
    <w:p w:rsidR="00EC3674" w:rsidRDefault="00EC3674" w:rsidP="004B0B40">
      <w:pPr>
        <w:rPr>
          <w:b/>
          <w:sz w:val="20"/>
          <w:szCs w:val="20"/>
        </w:rPr>
      </w:pPr>
    </w:p>
    <w:p w:rsidR="000653CE" w:rsidRDefault="000653CE" w:rsidP="004B0B40">
      <w:pPr>
        <w:rPr>
          <w:b/>
          <w:sz w:val="20"/>
          <w:szCs w:val="20"/>
        </w:rPr>
      </w:pPr>
    </w:p>
    <w:p w:rsidR="000653CE" w:rsidRDefault="000653CE" w:rsidP="004B0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Topics to include:</w:t>
      </w:r>
    </w:p>
    <w:p w:rsidR="00EC3674" w:rsidRPr="00460911" w:rsidRDefault="00EC3674" w:rsidP="004B0B40">
      <w:pPr>
        <w:rPr>
          <w:sz w:val="20"/>
          <w:szCs w:val="20"/>
        </w:rPr>
      </w:pPr>
      <w:r w:rsidRPr="00460911">
        <w:rPr>
          <w:sz w:val="20"/>
          <w:szCs w:val="20"/>
        </w:rPr>
        <w:t>Create Vision Statement</w:t>
      </w:r>
    </w:p>
    <w:p w:rsidR="00EC3674" w:rsidRPr="00460911" w:rsidRDefault="00EC3674" w:rsidP="004B0B40">
      <w:pPr>
        <w:rPr>
          <w:sz w:val="20"/>
          <w:szCs w:val="20"/>
        </w:rPr>
      </w:pPr>
      <w:r w:rsidRPr="00460911">
        <w:rPr>
          <w:sz w:val="20"/>
          <w:szCs w:val="20"/>
        </w:rPr>
        <w:t>Create Strategies to Accomplish Vision</w:t>
      </w:r>
    </w:p>
    <w:sectPr w:rsidR="00EC3674" w:rsidRPr="00460911" w:rsidSect="007554A1"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47" w:rsidRDefault="004E2F47" w:rsidP="002725AC">
      <w:r>
        <w:separator/>
      </w:r>
    </w:p>
  </w:endnote>
  <w:endnote w:type="continuationSeparator" w:id="0">
    <w:p w:rsidR="004E2F47" w:rsidRDefault="004E2F47" w:rsidP="0027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47" w:rsidRDefault="004E2F47" w:rsidP="002725AC">
      <w:r>
        <w:separator/>
      </w:r>
    </w:p>
  </w:footnote>
  <w:footnote w:type="continuationSeparator" w:id="0">
    <w:p w:rsidR="004E2F47" w:rsidRDefault="004E2F47" w:rsidP="00272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51"/>
    <w:rsid w:val="000145A5"/>
    <w:rsid w:val="00037C73"/>
    <w:rsid w:val="00043514"/>
    <w:rsid w:val="000653CE"/>
    <w:rsid w:val="000962E8"/>
    <w:rsid w:val="000B7A30"/>
    <w:rsid w:val="000D690C"/>
    <w:rsid w:val="000E7625"/>
    <w:rsid w:val="00100A15"/>
    <w:rsid w:val="00136F2B"/>
    <w:rsid w:val="002103A3"/>
    <w:rsid w:val="002138F0"/>
    <w:rsid w:val="002375BB"/>
    <w:rsid w:val="002725AC"/>
    <w:rsid w:val="00274B78"/>
    <w:rsid w:val="00281CA7"/>
    <w:rsid w:val="00284C4F"/>
    <w:rsid w:val="002A684E"/>
    <w:rsid w:val="002D727F"/>
    <w:rsid w:val="002E484F"/>
    <w:rsid w:val="002E6325"/>
    <w:rsid w:val="002E6539"/>
    <w:rsid w:val="002F3008"/>
    <w:rsid w:val="00317731"/>
    <w:rsid w:val="003262AF"/>
    <w:rsid w:val="00343503"/>
    <w:rsid w:val="00344D33"/>
    <w:rsid w:val="00367233"/>
    <w:rsid w:val="003929DC"/>
    <w:rsid w:val="003D1330"/>
    <w:rsid w:val="003D6212"/>
    <w:rsid w:val="003E51C2"/>
    <w:rsid w:val="0040071F"/>
    <w:rsid w:val="00402025"/>
    <w:rsid w:val="00417272"/>
    <w:rsid w:val="00417703"/>
    <w:rsid w:val="00456620"/>
    <w:rsid w:val="00460911"/>
    <w:rsid w:val="00487762"/>
    <w:rsid w:val="00495E0E"/>
    <w:rsid w:val="004A5051"/>
    <w:rsid w:val="004B0B40"/>
    <w:rsid w:val="004B541F"/>
    <w:rsid w:val="004E2F47"/>
    <w:rsid w:val="005052C5"/>
    <w:rsid w:val="00531002"/>
    <w:rsid w:val="005A0E60"/>
    <w:rsid w:val="005A7CC9"/>
    <w:rsid w:val="005F0EC2"/>
    <w:rsid w:val="00601954"/>
    <w:rsid w:val="00612382"/>
    <w:rsid w:val="00634679"/>
    <w:rsid w:val="00637CB8"/>
    <w:rsid w:val="006408C3"/>
    <w:rsid w:val="00687ED0"/>
    <w:rsid w:val="00692553"/>
    <w:rsid w:val="00694DDF"/>
    <w:rsid w:val="006C4047"/>
    <w:rsid w:val="006C5A10"/>
    <w:rsid w:val="006D1A35"/>
    <w:rsid w:val="00754AA0"/>
    <w:rsid w:val="007554A1"/>
    <w:rsid w:val="007618DC"/>
    <w:rsid w:val="007832AD"/>
    <w:rsid w:val="007A7C6D"/>
    <w:rsid w:val="007C174F"/>
    <w:rsid w:val="0085168B"/>
    <w:rsid w:val="00867D60"/>
    <w:rsid w:val="008827B7"/>
    <w:rsid w:val="008840A6"/>
    <w:rsid w:val="008C331A"/>
    <w:rsid w:val="008E5204"/>
    <w:rsid w:val="008F49C0"/>
    <w:rsid w:val="00987202"/>
    <w:rsid w:val="00992B08"/>
    <w:rsid w:val="009A7117"/>
    <w:rsid w:val="009C5462"/>
    <w:rsid w:val="009C7254"/>
    <w:rsid w:val="009E457A"/>
    <w:rsid w:val="00A33E67"/>
    <w:rsid w:val="00A466DF"/>
    <w:rsid w:val="00A529CE"/>
    <w:rsid w:val="00AA201F"/>
    <w:rsid w:val="00AA20A3"/>
    <w:rsid w:val="00AB52F3"/>
    <w:rsid w:val="00AC6C8D"/>
    <w:rsid w:val="00AE3851"/>
    <w:rsid w:val="00AF3407"/>
    <w:rsid w:val="00B84015"/>
    <w:rsid w:val="00BB5323"/>
    <w:rsid w:val="00BC27AD"/>
    <w:rsid w:val="00C021AB"/>
    <w:rsid w:val="00C13006"/>
    <w:rsid w:val="00C15D8B"/>
    <w:rsid w:val="00C166AB"/>
    <w:rsid w:val="00C235BB"/>
    <w:rsid w:val="00C3106E"/>
    <w:rsid w:val="00C63404"/>
    <w:rsid w:val="00C7623D"/>
    <w:rsid w:val="00C90E38"/>
    <w:rsid w:val="00C959E7"/>
    <w:rsid w:val="00CA4382"/>
    <w:rsid w:val="00CB3760"/>
    <w:rsid w:val="00CE6342"/>
    <w:rsid w:val="00CF2B50"/>
    <w:rsid w:val="00D038CB"/>
    <w:rsid w:val="00D14D51"/>
    <w:rsid w:val="00D25552"/>
    <w:rsid w:val="00D435D8"/>
    <w:rsid w:val="00D553BF"/>
    <w:rsid w:val="00D621F4"/>
    <w:rsid w:val="00DD4E95"/>
    <w:rsid w:val="00DE0EA4"/>
    <w:rsid w:val="00E139D6"/>
    <w:rsid w:val="00E25FA1"/>
    <w:rsid w:val="00E43BAB"/>
    <w:rsid w:val="00E4591C"/>
    <w:rsid w:val="00E60E43"/>
    <w:rsid w:val="00E71DBA"/>
    <w:rsid w:val="00E852AA"/>
    <w:rsid w:val="00EA2581"/>
    <w:rsid w:val="00EC3674"/>
    <w:rsid w:val="00EF193D"/>
    <w:rsid w:val="00F22670"/>
    <w:rsid w:val="00F642A6"/>
    <w:rsid w:val="00F81578"/>
    <w:rsid w:val="00F82832"/>
    <w:rsid w:val="00FA43BA"/>
    <w:rsid w:val="00FB1AC4"/>
    <w:rsid w:val="00FB2BD6"/>
    <w:rsid w:val="00FD4F53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27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5A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27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5AC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eacques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8221-FA0B-44E6-82E3-70DB9276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2</Pages>
  <Words>418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tadixon-fbo</cp:lastModifiedBy>
  <cp:revision>2</cp:revision>
  <cp:lastPrinted>2009-04-01T19:48:00Z</cp:lastPrinted>
  <dcterms:created xsi:type="dcterms:W3CDTF">2009-10-19T15:03:00Z</dcterms:created>
  <dcterms:modified xsi:type="dcterms:W3CDTF">2009-10-19T15:03:00Z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